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7" w:right="0" w:firstLine="0"/>
        <w:jc w:val="left"/>
        <w:rPr>
          <w:b/>
          <w:i/>
          <w:sz w:val="22"/>
        </w:rPr>
      </w:pPr>
      <w:r>
        <w:rPr>
          <w:b/>
          <w:i/>
          <w:sz w:val="22"/>
        </w:rPr>
        <w:t>AHG/Dec.</w:t>
      </w:r>
      <w:r>
        <w:rPr>
          <w:b/>
          <w:i/>
          <w:spacing w:val="12"/>
          <w:sz w:val="22"/>
        </w:rPr>
        <w:t> </w:t>
      </w:r>
      <w:r>
        <w:rPr>
          <w:b/>
          <w:i/>
          <w:sz w:val="22"/>
        </w:rPr>
        <w:t>126</w:t>
      </w:r>
      <w:r>
        <w:rPr>
          <w:b/>
          <w:i/>
          <w:spacing w:val="12"/>
          <w:sz w:val="22"/>
        </w:rPr>
        <w:t> </w:t>
      </w:r>
      <w:r>
        <w:rPr>
          <w:b/>
          <w:i/>
          <w:spacing w:val="-2"/>
          <w:sz w:val="22"/>
        </w:rPr>
        <w:t>(XXXIV)</w:t>
      </w:r>
    </w:p>
    <w:p>
      <w:pPr>
        <w:pStyle w:val="BodyText"/>
        <w:spacing w:before="1"/>
        <w:rPr>
          <w:i/>
          <w:sz w:val="23"/>
        </w:rPr>
      </w:pPr>
    </w:p>
    <w:p>
      <w:pPr>
        <w:pStyle w:val="BodyText"/>
        <w:ind w:left="4192" w:hanging="4032"/>
      </w:pPr>
      <w:r>
        <w:rPr>
          <w:u w:val="single"/>
        </w:rPr>
        <w:t>ANNUAL ACTIVITIES OF THE AFRICAN COMMISSION ON HUMAN AND PEOPLES'</w:t>
      </w:r>
      <w:r>
        <w:rPr/>
        <w:t> </w:t>
      </w:r>
      <w:r>
        <w:rPr>
          <w:spacing w:val="-2"/>
          <w:u w:val="single"/>
        </w:rPr>
        <w:t>RIGHTS</w:t>
      </w:r>
    </w:p>
    <w:p>
      <w:pPr>
        <w:pStyle w:val="BodyText"/>
        <w:rPr>
          <w:sz w:val="20"/>
        </w:rPr>
      </w:pPr>
    </w:p>
    <w:p>
      <w:pPr>
        <w:pStyle w:val="BodyText"/>
        <w:spacing w:before="10"/>
        <w:rPr>
          <w:sz w:val="17"/>
        </w:rPr>
      </w:pPr>
    </w:p>
    <w:p>
      <w:pPr>
        <w:pStyle w:val="BodyText"/>
        <w:spacing w:before="95"/>
        <w:ind w:left="117"/>
      </w:pPr>
      <w:r>
        <w:rPr/>
        <w:t>The</w:t>
      </w:r>
      <w:r>
        <w:rPr>
          <w:spacing w:val="6"/>
        </w:rPr>
        <w:t> </w:t>
      </w:r>
      <w:r>
        <w:rPr>
          <w:spacing w:val="-2"/>
        </w:rPr>
        <w:t>Assembly,</w:t>
      </w:r>
    </w:p>
    <w:p>
      <w:pPr>
        <w:pStyle w:val="BodyText"/>
        <w:spacing w:before="1"/>
        <w:rPr>
          <w:sz w:val="23"/>
        </w:rPr>
      </w:pPr>
    </w:p>
    <w:p>
      <w:pPr>
        <w:pStyle w:val="ListParagraph"/>
        <w:numPr>
          <w:ilvl w:val="0"/>
          <w:numId w:val="1"/>
        </w:numPr>
        <w:tabs>
          <w:tab w:pos="794" w:val="left" w:leader="none"/>
          <w:tab w:pos="795" w:val="left" w:leader="none"/>
        </w:tabs>
        <w:spacing w:line="244" w:lineRule="auto" w:before="0" w:after="0"/>
        <w:ind w:left="794" w:right="225" w:hanging="677"/>
        <w:jc w:val="left"/>
        <w:rPr>
          <w:b/>
          <w:sz w:val="22"/>
        </w:rPr>
      </w:pPr>
      <w:r>
        <w:rPr>
          <w:b/>
          <w:sz w:val="22"/>
        </w:rPr>
        <w:t>TAKES NOTE with satisfaction of the Activity Report of the African Commission on Human and Peoples' Rights, and COMMENDS it for the quality of work</w:t>
      </w:r>
      <w:r>
        <w:rPr>
          <w:b/>
          <w:spacing w:val="80"/>
          <w:sz w:val="22"/>
        </w:rPr>
        <w:t> </w:t>
      </w:r>
      <w:r>
        <w:rPr>
          <w:b/>
          <w:sz w:val="22"/>
        </w:rPr>
        <w:t>accomplished during the period under review;</w:t>
      </w:r>
    </w:p>
    <w:p>
      <w:pPr>
        <w:pStyle w:val="BodyText"/>
        <w:spacing w:before="10"/>
      </w:pPr>
    </w:p>
    <w:p>
      <w:pPr>
        <w:pStyle w:val="ListParagraph"/>
        <w:numPr>
          <w:ilvl w:val="0"/>
          <w:numId w:val="1"/>
        </w:numPr>
        <w:tabs>
          <w:tab w:pos="794" w:val="left" w:leader="none"/>
          <w:tab w:pos="795" w:val="left" w:leader="none"/>
        </w:tabs>
        <w:spacing w:line="244" w:lineRule="auto" w:before="0" w:after="0"/>
        <w:ind w:left="794" w:right="106" w:hanging="677"/>
        <w:jc w:val="left"/>
        <w:rPr>
          <w:b/>
          <w:sz w:val="22"/>
        </w:rPr>
      </w:pPr>
      <w:r>
        <w:rPr>
          <w:b/>
          <w:sz w:val="22"/>
        </w:rPr>
        <w:t>ENCOURAGES the African Commission to pursue its activities for the protection and promotion of Human and Peoples' Rights;</w:t>
      </w:r>
    </w:p>
    <w:p>
      <w:pPr>
        <w:pStyle w:val="BodyText"/>
        <w:spacing w:before="8"/>
      </w:pPr>
    </w:p>
    <w:p>
      <w:pPr>
        <w:pStyle w:val="ListParagraph"/>
        <w:numPr>
          <w:ilvl w:val="0"/>
          <w:numId w:val="1"/>
        </w:numPr>
        <w:tabs>
          <w:tab w:pos="795" w:val="left" w:leader="none"/>
        </w:tabs>
        <w:spacing w:line="244" w:lineRule="auto" w:before="1" w:after="0"/>
        <w:ind w:left="794" w:right="331" w:hanging="677"/>
        <w:jc w:val="both"/>
        <w:rPr>
          <w:b/>
          <w:sz w:val="22"/>
        </w:rPr>
      </w:pPr>
      <w:r>
        <w:rPr>
          <w:b/>
          <w:sz w:val="22"/>
        </w:rPr>
        <w:t>REQUESTS the African Commission, for reasons of efficiency, to review its criteria for granting observer status and to suspend further granting of observer status until the adoption of the new criteria;</w:t>
      </w:r>
    </w:p>
    <w:p>
      <w:pPr>
        <w:pStyle w:val="BodyText"/>
        <w:spacing w:before="9"/>
      </w:pPr>
    </w:p>
    <w:p>
      <w:pPr>
        <w:pStyle w:val="ListParagraph"/>
        <w:numPr>
          <w:ilvl w:val="0"/>
          <w:numId w:val="1"/>
        </w:numPr>
        <w:tabs>
          <w:tab w:pos="794" w:val="left" w:leader="none"/>
          <w:tab w:pos="795" w:val="left" w:leader="none"/>
        </w:tabs>
        <w:spacing w:line="247" w:lineRule="auto" w:before="0" w:after="0"/>
        <w:ind w:left="794" w:right="162" w:hanging="677"/>
        <w:jc w:val="left"/>
        <w:rPr>
          <w:b/>
          <w:sz w:val="22"/>
        </w:rPr>
      </w:pPr>
      <w:r>
        <w:rPr>
          <w:b/>
          <w:sz w:val="22"/>
        </w:rPr>
        <w:t>REITERATES its earlier decisions concerning the means for the functioning of the Commission and REQUESTS the Advisory Committee and the General Secretariat to endeavour to provide the African Commission with the adequate resources as early as possible to enable it discharge its tasks satisfactorily and independently;</w:t>
      </w:r>
    </w:p>
    <w:p>
      <w:pPr>
        <w:pStyle w:val="BodyText"/>
        <w:spacing w:before="6"/>
      </w:pPr>
    </w:p>
    <w:p>
      <w:pPr>
        <w:pStyle w:val="ListParagraph"/>
        <w:numPr>
          <w:ilvl w:val="0"/>
          <w:numId w:val="1"/>
        </w:numPr>
        <w:tabs>
          <w:tab w:pos="794" w:val="left" w:leader="none"/>
          <w:tab w:pos="795" w:val="left" w:leader="none"/>
        </w:tabs>
        <w:spacing w:line="244" w:lineRule="auto" w:before="0" w:after="0"/>
        <w:ind w:left="794" w:right="254" w:hanging="677"/>
        <w:jc w:val="left"/>
        <w:rPr>
          <w:b/>
          <w:sz w:val="22"/>
        </w:rPr>
      </w:pPr>
      <w:r>
        <w:rPr>
          <w:b/>
          <w:sz w:val="22"/>
        </w:rPr>
        <w:t>URGES Member States to honour their obligations enshrined in the African Charter and to lend the African Commission the full support and the cooperation needed for the efficient accomplishment of its mission;</w:t>
      </w:r>
    </w:p>
    <w:p>
      <w:pPr>
        <w:pStyle w:val="BodyText"/>
        <w:spacing w:before="9"/>
      </w:pPr>
    </w:p>
    <w:p>
      <w:pPr>
        <w:pStyle w:val="ListParagraph"/>
        <w:numPr>
          <w:ilvl w:val="0"/>
          <w:numId w:val="1"/>
        </w:numPr>
        <w:tabs>
          <w:tab w:pos="794" w:val="left" w:leader="none"/>
          <w:tab w:pos="795" w:val="left" w:leader="none"/>
        </w:tabs>
        <w:spacing w:line="244" w:lineRule="auto" w:before="1" w:after="0"/>
        <w:ind w:left="794" w:right="248" w:hanging="677"/>
        <w:jc w:val="left"/>
        <w:rPr>
          <w:b/>
          <w:sz w:val="22"/>
        </w:rPr>
      </w:pPr>
      <w:r>
        <w:rPr>
          <w:b/>
          <w:sz w:val="22"/>
        </w:rPr>
        <w:t>REQUESTS the OAU Secretary-General to convene, in cooperation with the African Commission on Human and Peoples' Rights, a high level meeting of Experts to consider ways and means of removing obstacles to the enjoyment of economic, social and cultural rights, including fight against corruption and impunity and propose appropriate legislative and other measures;</w:t>
      </w:r>
    </w:p>
    <w:p>
      <w:pPr>
        <w:pStyle w:val="BodyText"/>
        <w:rPr>
          <w:sz w:val="23"/>
        </w:rPr>
      </w:pPr>
    </w:p>
    <w:p>
      <w:pPr>
        <w:pStyle w:val="ListParagraph"/>
        <w:numPr>
          <w:ilvl w:val="0"/>
          <w:numId w:val="1"/>
        </w:numPr>
        <w:tabs>
          <w:tab w:pos="794" w:val="left" w:leader="none"/>
          <w:tab w:pos="795" w:val="left" w:leader="none"/>
        </w:tabs>
        <w:spacing w:line="244" w:lineRule="auto" w:before="0" w:after="0"/>
        <w:ind w:left="794" w:right="518" w:hanging="677"/>
        <w:jc w:val="left"/>
        <w:rPr>
          <w:b/>
          <w:sz w:val="22"/>
        </w:rPr>
      </w:pPr>
      <w:r>
        <w:rPr>
          <w:b/>
          <w:sz w:val="22"/>
        </w:rPr>
        <w:t>ALSO REQUESTS the African Commission to finalize the Protocol to the African Charter, relating to Women's Rights as early as possible;</w:t>
      </w:r>
    </w:p>
    <w:p>
      <w:pPr>
        <w:pStyle w:val="BodyText"/>
        <w:spacing w:before="8"/>
      </w:pPr>
    </w:p>
    <w:p>
      <w:pPr>
        <w:pStyle w:val="ListParagraph"/>
        <w:numPr>
          <w:ilvl w:val="0"/>
          <w:numId w:val="1"/>
        </w:numPr>
        <w:tabs>
          <w:tab w:pos="794" w:val="left" w:leader="none"/>
          <w:tab w:pos="795" w:val="left" w:leader="none"/>
        </w:tabs>
        <w:spacing w:line="247" w:lineRule="auto" w:before="1" w:after="0"/>
        <w:ind w:left="794" w:right="155" w:hanging="677"/>
        <w:jc w:val="left"/>
        <w:rPr>
          <w:b/>
          <w:sz w:val="22"/>
        </w:rPr>
      </w:pPr>
      <w:r>
        <w:rPr>
          <w:b/>
          <w:sz w:val="22"/>
        </w:rPr>
        <w:t>REQUESTS the African Commission to conduct the necessary consultations with the competent organs and OAU Member States to ensure a rapid implementation of the present decision and to report thereon to the 35</w:t>
      </w:r>
      <w:r>
        <w:rPr>
          <w:b/>
          <w:sz w:val="22"/>
          <w:vertAlign w:val="superscript"/>
        </w:rPr>
        <w:t>t</w:t>
      </w:r>
      <w:r>
        <w:rPr>
          <w:b/>
          <w:sz w:val="22"/>
          <w:vertAlign w:val="superscript"/>
        </w:rPr>
        <w:t>h</w:t>
      </w:r>
      <w:r>
        <w:rPr>
          <w:b/>
          <w:sz w:val="22"/>
          <w:vertAlign w:val="baseline"/>
        </w:rPr>
        <w:t> Ordinary Session of the Assembly of Heads of State and Government.</w:t>
      </w:r>
    </w:p>
    <w:sectPr>
      <w:type w:val="continuous"/>
      <w:pgSz w:w="12240" w:h="15840"/>
      <w:pgMar w:top="1300" w:bottom="280" w:left="15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94"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640" w:hanging="677"/>
      </w:pPr>
      <w:rPr>
        <w:rFonts w:hint="default"/>
        <w:lang w:val="en-US" w:eastAsia="en-US" w:bidi="ar-SA"/>
      </w:rPr>
    </w:lvl>
    <w:lvl w:ilvl="2">
      <w:start w:val="0"/>
      <w:numFmt w:val="bullet"/>
      <w:lvlText w:val="•"/>
      <w:lvlJc w:val="left"/>
      <w:pPr>
        <w:ind w:left="2480" w:hanging="677"/>
      </w:pPr>
      <w:rPr>
        <w:rFonts w:hint="default"/>
        <w:lang w:val="en-US" w:eastAsia="en-US" w:bidi="ar-SA"/>
      </w:rPr>
    </w:lvl>
    <w:lvl w:ilvl="3">
      <w:start w:val="0"/>
      <w:numFmt w:val="bullet"/>
      <w:lvlText w:val="•"/>
      <w:lvlJc w:val="left"/>
      <w:pPr>
        <w:ind w:left="3320" w:hanging="677"/>
      </w:pPr>
      <w:rPr>
        <w:rFonts w:hint="default"/>
        <w:lang w:val="en-US" w:eastAsia="en-US" w:bidi="ar-SA"/>
      </w:rPr>
    </w:lvl>
    <w:lvl w:ilvl="4">
      <w:start w:val="0"/>
      <w:numFmt w:val="bullet"/>
      <w:lvlText w:val="•"/>
      <w:lvlJc w:val="left"/>
      <w:pPr>
        <w:ind w:left="4160" w:hanging="677"/>
      </w:pPr>
      <w:rPr>
        <w:rFonts w:hint="default"/>
        <w:lang w:val="en-US" w:eastAsia="en-US" w:bidi="ar-SA"/>
      </w:rPr>
    </w:lvl>
    <w:lvl w:ilvl="5">
      <w:start w:val="0"/>
      <w:numFmt w:val="bullet"/>
      <w:lvlText w:val="•"/>
      <w:lvlJc w:val="left"/>
      <w:pPr>
        <w:ind w:left="5000" w:hanging="677"/>
      </w:pPr>
      <w:rPr>
        <w:rFonts w:hint="default"/>
        <w:lang w:val="en-US" w:eastAsia="en-US" w:bidi="ar-SA"/>
      </w:rPr>
    </w:lvl>
    <w:lvl w:ilvl="6">
      <w:start w:val="0"/>
      <w:numFmt w:val="bullet"/>
      <w:lvlText w:val="•"/>
      <w:lvlJc w:val="left"/>
      <w:pPr>
        <w:ind w:left="5840" w:hanging="677"/>
      </w:pPr>
      <w:rPr>
        <w:rFonts w:hint="default"/>
        <w:lang w:val="en-US" w:eastAsia="en-US" w:bidi="ar-SA"/>
      </w:rPr>
    </w:lvl>
    <w:lvl w:ilvl="7">
      <w:start w:val="0"/>
      <w:numFmt w:val="bullet"/>
      <w:lvlText w:val="•"/>
      <w:lvlJc w:val="left"/>
      <w:pPr>
        <w:ind w:left="6680" w:hanging="677"/>
      </w:pPr>
      <w:rPr>
        <w:rFonts w:hint="default"/>
        <w:lang w:val="en-US" w:eastAsia="en-US" w:bidi="ar-SA"/>
      </w:rPr>
    </w:lvl>
    <w:lvl w:ilvl="8">
      <w:start w:val="0"/>
      <w:numFmt w:val="bullet"/>
      <w:lvlText w:val="•"/>
      <w:lvlJc w:val="left"/>
      <w:pPr>
        <w:ind w:left="7520"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4" w:right="106"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DECISIONS ADOPTED BY THE THIRTY-FOURTH ORDINARY SESSION OF THE ASSEMBLY OF HEADS OF STATE AND GOVERNMENT</dc:title>
  <dcterms:created xsi:type="dcterms:W3CDTF">2023-04-01T19:50:50Z</dcterms:created>
  <dcterms:modified xsi:type="dcterms:W3CDTF">2023-04-01T19:50:50Z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