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pacing w:val="-2"/>
          <w:sz w:val="24"/>
        </w:rPr>
        <w:t>AHG/OAU/AEC/Dec.1</w:t>
      </w:r>
      <w:r>
        <w:rPr>
          <w:b/>
          <w:i/>
          <w:spacing w:val="13"/>
          <w:sz w:val="24"/>
        </w:rPr>
        <w:t> </w:t>
      </w:r>
      <w:r>
        <w:rPr>
          <w:b/>
          <w:i/>
          <w:spacing w:val="-4"/>
          <w:sz w:val="24"/>
        </w:rPr>
        <w:t>(IV)</w:t>
      </w:r>
    </w:p>
    <w:p>
      <w:pPr>
        <w:pStyle w:val="BodyText"/>
        <w:spacing w:before="6"/>
        <w:ind w:left="0"/>
        <w:rPr>
          <w:i/>
          <w:sz w:val="14"/>
        </w:rPr>
      </w:pPr>
    </w:p>
    <w:p>
      <w:pPr>
        <w:spacing w:before="90"/>
        <w:ind w:left="3834" w:right="3834" w:firstLine="0"/>
        <w:jc w:val="center"/>
        <w:rPr>
          <w:b/>
          <w:sz w:val="24"/>
        </w:rPr>
      </w:pPr>
      <w:r>
        <w:rPr>
          <w:b/>
          <w:spacing w:val="-2"/>
          <w:sz w:val="24"/>
          <w:u w:val="single"/>
        </w:rPr>
        <w:t>DECISION</w:t>
      </w:r>
    </w:p>
    <w:p>
      <w:pPr>
        <w:pStyle w:val="BodyText"/>
        <w:spacing w:before="0"/>
        <w:ind w:left="0"/>
        <w:rPr>
          <w:sz w:val="20"/>
        </w:rPr>
      </w:pPr>
    </w:p>
    <w:p>
      <w:pPr>
        <w:pStyle w:val="BodyText"/>
        <w:spacing w:before="0"/>
        <w:ind w:left="0"/>
        <w:rPr>
          <w:sz w:val="20"/>
        </w:rPr>
      </w:pPr>
    </w:p>
    <w:p>
      <w:pPr>
        <w:pStyle w:val="BodyText"/>
        <w:spacing w:line="412" w:lineRule="auto" w:before="209"/>
        <w:ind w:left="119" w:right="2389"/>
      </w:pPr>
      <w:r>
        <w:rPr/>
        <w:t>The Assembly of Heads of State and Government, Considering</w:t>
      </w:r>
      <w:r>
        <w:rPr>
          <w:spacing w:val="-6"/>
        </w:rPr>
        <w:t> </w:t>
      </w:r>
      <w:r>
        <w:rPr/>
        <w:t>the</w:t>
      </w:r>
      <w:r>
        <w:rPr>
          <w:spacing w:val="-6"/>
        </w:rPr>
        <w:t> </w:t>
      </w:r>
      <w:r>
        <w:rPr/>
        <w:t>Charter</w:t>
      </w:r>
      <w:r>
        <w:rPr>
          <w:spacing w:val="-6"/>
        </w:rPr>
        <w:t> </w:t>
      </w:r>
      <w:r>
        <w:rPr/>
        <w:t>of</w:t>
      </w:r>
      <w:r>
        <w:rPr>
          <w:spacing w:val="-6"/>
        </w:rPr>
        <w:t> </w:t>
      </w:r>
      <w:r>
        <w:rPr/>
        <w:t>the</w:t>
      </w:r>
      <w:r>
        <w:rPr>
          <w:spacing w:val="-6"/>
        </w:rPr>
        <w:t> </w:t>
      </w:r>
      <w:r>
        <w:rPr/>
        <w:t>Organization</w:t>
      </w:r>
      <w:r>
        <w:rPr>
          <w:spacing w:val="-6"/>
        </w:rPr>
        <w:t> </w:t>
      </w:r>
      <w:r>
        <w:rPr/>
        <w:t>of</w:t>
      </w:r>
      <w:r>
        <w:rPr>
          <w:spacing w:val="-6"/>
        </w:rPr>
        <w:t> </w:t>
      </w:r>
      <w:r>
        <w:rPr/>
        <w:t>African</w:t>
      </w:r>
      <w:r>
        <w:rPr>
          <w:spacing w:val="-6"/>
        </w:rPr>
        <w:t> </w:t>
      </w:r>
      <w:r>
        <w:rPr/>
        <w:t>Unity,</w:t>
      </w:r>
    </w:p>
    <w:p>
      <w:pPr>
        <w:pStyle w:val="BodyText"/>
        <w:spacing w:line="355" w:lineRule="auto" w:before="6"/>
        <w:ind w:left="119"/>
      </w:pPr>
      <w:r>
        <w:rPr/>
        <w:t>Considering the Treaty Establishing the African Economic Community,</w:t>
      </w:r>
      <w:r>
        <w:rPr>
          <w:spacing w:val="25"/>
        </w:rPr>
        <w:t> </w:t>
      </w:r>
      <w:r>
        <w:rPr/>
        <w:t>especially Articles 7,8,9 and 10 thereof,</w:t>
      </w:r>
    </w:p>
    <w:p>
      <w:pPr>
        <w:pStyle w:val="BodyText"/>
        <w:spacing w:line="355" w:lineRule="auto"/>
        <w:ind w:left="119"/>
      </w:pPr>
      <w:r>
        <w:rPr/>
        <w:t>Considering Further the Protocol on the Relations between the African Economic</w:t>
      </w:r>
      <w:r>
        <w:rPr>
          <w:spacing w:val="40"/>
        </w:rPr>
        <w:t> </w:t>
      </w:r>
      <w:r>
        <w:rPr/>
        <w:t>Communities and the Regional Economic Communities,</w:t>
      </w:r>
    </w:p>
    <w:p>
      <w:pPr>
        <w:pStyle w:val="BodyText"/>
        <w:spacing w:line="408" w:lineRule="auto" w:before="67"/>
        <w:ind w:left="119" w:right="1798"/>
      </w:pPr>
      <w:r>
        <w:rPr/>
        <w:t>Having</w:t>
      </w:r>
      <w:r>
        <w:rPr>
          <w:spacing w:val="-6"/>
        </w:rPr>
        <w:t> </w:t>
      </w:r>
      <w:r>
        <w:rPr/>
        <w:t>Considered</w:t>
      </w:r>
      <w:r>
        <w:rPr>
          <w:spacing w:val="-6"/>
        </w:rPr>
        <w:t> </w:t>
      </w:r>
      <w:r>
        <w:rPr/>
        <w:t>the</w:t>
      </w:r>
      <w:r>
        <w:rPr>
          <w:spacing w:val="-6"/>
        </w:rPr>
        <w:t> </w:t>
      </w:r>
      <w:r>
        <w:rPr/>
        <w:t>Report</w:t>
      </w:r>
      <w:r>
        <w:rPr>
          <w:spacing w:val="-6"/>
        </w:rPr>
        <w:t> </w:t>
      </w:r>
      <w:r>
        <w:rPr/>
        <w:t>of</w:t>
      </w:r>
      <w:r>
        <w:rPr>
          <w:spacing w:val="-6"/>
        </w:rPr>
        <w:t> </w:t>
      </w:r>
      <w:r>
        <w:rPr/>
        <w:t>the</w:t>
      </w:r>
      <w:r>
        <w:rPr>
          <w:spacing w:val="-6"/>
        </w:rPr>
        <w:t> </w:t>
      </w:r>
      <w:r>
        <w:rPr/>
        <w:t>Council</w:t>
      </w:r>
      <w:r>
        <w:rPr>
          <w:spacing w:val="-6"/>
        </w:rPr>
        <w:t> </w:t>
      </w:r>
      <w:r>
        <w:rPr/>
        <w:t>of</w:t>
      </w:r>
      <w:r>
        <w:rPr>
          <w:spacing w:val="-6"/>
        </w:rPr>
        <w:t> </w:t>
      </w:r>
      <w:r>
        <w:rPr/>
        <w:t>Minister, </w:t>
      </w:r>
      <w:r>
        <w:rPr>
          <w:spacing w:val="-2"/>
        </w:rPr>
        <w:t>DECIDES:</w:t>
      </w:r>
    </w:p>
    <w:p>
      <w:pPr>
        <w:pStyle w:val="Heading1"/>
        <w:numPr>
          <w:ilvl w:val="0"/>
          <w:numId w:val="1"/>
        </w:numPr>
        <w:tabs>
          <w:tab w:pos="365" w:val="left" w:leader="none"/>
        </w:tabs>
        <w:spacing w:line="240" w:lineRule="auto" w:before="7" w:after="0"/>
        <w:ind w:left="364" w:right="0" w:hanging="246"/>
        <w:jc w:val="left"/>
      </w:pPr>
      <w:r>
        <w:rPr/>
        <w:t>REGULATIONS</w:t>
      </w:r>
      <w:r>
        <w:rPr>
          <w:spacing w:val="-7"/>
        </w:rPr>
        <w:t> </w:t>
      </w:r>
      <w:r>
        <w:rPr/>
        <w:t>OF</w:t>
      </w:r>
      <w:r>
        <w:rPr>
          <w:spacing w:val="-5"/>
        </w:rPr>
        <w:t> </w:t>
      </w:r>
      <w:r>
        <w:rPr/>
        <w:t>THE</w:t>
      </w:r>
      <w:r>
        <w:rPr>
          <w:spacing w:val="-6"/>
        </w:rPr>
        <w:t> </w:t>
      </w:r>
      <w:r>
        <w:rPr/>
        <w:t>COUNCIL</w:t>
      </w:r>
      <w:r>
        <w:rPr>
          <w:spacing w:val="-5"/>
        </w:rPr>
        <w:t> </w:t>
      </w:r>
      <w:r>
        <w:rPr/>
        <w:t>OF</w:t>
      </w:r>
      <w:r>
        <w:rPr>
          <w:spacing w:val="-5"/>
        </w:rPr>
        <w:t> </w:t>
      </w:r>
      <w:r>
        <w:rPr>
          <w:spacing w:val="-2"/>
        </w:rPr>
        <w:t>MINISTERS</w:t>
      </w:r>
    </w:p>
    <w:p>
      <w:pPr>
        <w:pStyle w:val="BodyText"/>
        <w:spacing w:line="355" w:lineRule="auto" w:before="204"/>
        <w:ind w:hanging="1"/>
      </w:pPr>
      <w:r>
        <w:rPr/>
        <w:t>Regulation CM/AEC/Regl.1 (VI) and CM/OAU/AEC/Regl.1 (VII) of the Council of Ministers are hereby approved.</w:t>
      </w:r>
    </w:p>
    <w:p>
      <w:pPr>
        <w:pStyle w:val="Heading1"/>
        <w:numPr>
          <w:ilvl w:val="0"/>
          <w:numId w:val="1"/>
        </w:numPr>
        <w:tabs>
          <w:tab w:pos="366" w:val="left" w:leader="none"/>
        </w:tabs>
        <w:spacing w:line="240" w:lineRule="auto" w:before="66" w:after="0"/>
        <w:ind w:left="365" w:right="0" w:hanging="247"/>
        <w:jc w:val="left"/>
      </w:pPr>
      <w:r>
        <w:rPr/>
        <w:t>RATIFICATION</w:t>
      </w:r>
      <w:r>
        <w:rPr>
          <w:spacing w:val="-11"/>
        </w:rPr>
        <w:t> </w:t>
      </w:r>
      <w:r>
        <w:rPr/>
        <w:t>OF</w:t>
      </w:r>
      <w:r>
        <w:rPr>
          <w:spacing w:val="-11"/>
        </w:rPr>
        <w:t> </w:t>
      </w:r>
      <w:r>
        <w:rPr/>
        <w:t>AEC</w:t>
      </w:r>
      <w:r>
        <w:rPr>
          <w:spacing w:val="-11"/>
        </w:rPr>
        <w:t> </w:t>
      </w:r>
      <w:r>
        <w:rPr>
          <w:spacing w:val="-2"/>
        </w:rPr>
        <w:t>TREATY</w:t>
      </w:r>
    </w:p>
    <w:p>
      <w:pPr>
        <w:pStyle w:val="BodyText"/>
        <w:spacing w:line="355" w:lineRule="auto" w:before="204"/>
        <w:ind w:left="119"/>
      </w:pPr>
      <w:r>
        <w:rPr/>
        <w:t>Member States which have not yet done so are urged to ratify the AEC Treaty or</w:t>
      </w:r>
      <w:r>
        <w:rPr>
          <w:spacing w:val="80"/>
          <w:w w:val="150"/>
        </w:rPr>
        <w:t> </w:t>
      </w:r>
      <w:r>
        <w:rPr/>
        <w:t>accede to it as early as possible.</w:t>
      </w:r>
    </w:p>
    <w:p>
      <w:pPr>
        <w:pStyle w:val="Heading1"/>
        <w:numPr>
          <w:ilvl w:val="0"/>
          <w:numId w:val="1"/>
        </w:numPr>
        <w:tabs>
          <w:tab w:pos="365" w:val="left" w:leader="none"/>
        </w:tabs>
        <w:spacing w:line="240" w:lineRule="auto" w:before="67" w:after="0"/>
        <w:ind w:left="364" w:right="0" w:hanging="246"/>
        <w:jc w:val="left"/>
      </w:pPr>
      <w:r>
        <w:rPr/>
        <w:t>FIRST</w:t>
      </w:r>
      <w:r>
        <w:rPr>
          <w:spacing w:val="-16"/>
        </w:rPr>
        <w:t> </w:t>
      </w:r>
      <w:r>
        <w:rPr/>
        <w:t>AFRICA-EUROPE</w:t>
      </w:r>
      <w:r>
        <w:rPr>
          <w:spacing w:val="-13"/>
        </w:rPr>
        <w:t> </w:t>
      </w:r>
      <w:r>
        <w:rPr>
          <w:spacing w:val="-2"/>
        </w:rPr>
        <w:t>SUMMIT</w:t>
      </w:r>
    </w:p>
    <w:p>
      <w:pPr>
        <w:pStyle w:val="ListParagraph"/>
        <w:numPr>
          <w:ilvl w:val="1"/>
          <w:numId w:val="1"/>
        </w:numPr>
        <w:tabs>
          <w:tab w:pos="418" w:val="left" w:leader="none"/>
        </w:tabs>
        <w:spacing w:line="360" w:lineRule="auto" w:before="199" w:after="0"/>
        <w:ind w:left="119" w:right="128" w:firstLine="0"/>
        <w:jc w:val="both"/>
        <w:rPr>
          <w:b/>
          <w:sz w:val="24"/>
        </w:rPr>
      </w:pPr>
      <w:r>
        <w:rPr>
          <w:b/>
          <w:sz w:val="24"/>
        </w:rPr>
        <w:t>Special commendations are extended to President Abdelaziz BOUTEFLIKA of Algeria and President Hosny Mubarak of Egypt for the tireless efforts they have deployed to ensure the convening and success of this Summit;</w:t>
      </w:r>
    </w:p>
    <w:p>
      <w:pPr>
        <w:pStyle w:val="ListParagraph"/>
        <w:numPr>
          <w:ilvl w:val="1"/>
          <w:numId w:val="1"/>
        </w:numPr>
        <w:tabs>
          <w:tab w:pos="404" w:val="left" w:leader="none"/>
        </w:tabs>
        <w:spacing w:line="357" w:lineRule="auto" w:before="63" w:after="0"/>
        <w:ind w:left="120" w:right="133" w:firstLine="0"/>
        <w:jc w:val="both"/>
        <w:rPr>
          <w:b/>
          <w:sz w:val="24"/>
        </w:rPr>
      </w:pPr>
      <w:r>
        <w:rPr>
          <w:b/>
          <w:sz w:val="24"/>
        </w:rPr>
        <w:t>Gratitude is expressed to the OAU Preparatory Committee and its Core for their initiatives in preserving the solidarity and unity of the OAU during negotiations with the European side;</w:t>
      </w:r>
    </w:p>
    <w:p>
      <w:pPr>
        <w:pStyle w:val="ListParagraph"/>
        <w:numPr>
          <w:ilvl w:val="1"/>
          <w:numId w:val="1"/>
        </w:numPr>
        <w:tabs>
          <w:tab w:pos="407" w:val="left" w:leader="none"/>
        </w:tabs>
        <w:spacing w:line="355" w:lineRule="auto" w:before="68" w:after="0"/>
        <w:ind w:left="120" w:right="124" w:hanging="1"/>
        <w:jc w:val="both"/>
        <w:rPr>
          <w:b/>
          <w:sz w:val="24"/>
        </w:rPr>
      </w:pPr>
      <w:r>
        <w:rPr>
          <w:b/>
          <w:sz w:val="24"/>
        </w:rPr>
        <w:t>Member States are invited to give necessary priority to implementation of the "Cairo Plan of Action" adopted by the Summit;</w:t>
      </w:r>
    </w:p>
    <w:p>
      <w:pPr>
        <w:pStyle w:val="ListParagraph"/>
        <w:numPr>
          <w:ilvl w:val="1"/>
          <w:numId w:val="1"/>
        </w:numPr>
        <w:tabs>
          <w:tab w:pos="465" w:val="left" w:leader="none"/>
        </w:tabs>
        <w:spacing w:line="360" w:lineRule="auto" w:before="71" w:after="0"/>
        <w:ind w:left="119" w:right="114" w:firstLine="0"/>
        <w:jc w:val="both"/>
        <w:rPr>
          <w:b/>
          <w:sz w:val="24"/>
        </w:rPr>
      </w:pPr>
      <w:r>
        <w:rPr>
          <w:b/>
          <w:sz w:val="24"/>
        </w:rPr>
        <w:t>Member States and the General Secretariat are invited to map out, in co- operation</w:t>
      </w:r>
      <w:r>
        <w:rPr>
          <w:b/>
          <w:spacing w:val="40"/>
          <w:sz w:val="24"/>
        </w:rPr>
        <w:t> </w:t>
      </w:r>
      <w:r>
        <w:rPr>
          <w:b/>
          <w:sz w:val="24"/>
        </w:rPr>
        <w:t>with</w:t>
      </w:r>
      <w:r>
        <w:rPr>
          <w:b/>
          <w:spacing w:val="40"/>
          <w:sz w:val="24"/>
        </w:rPr>
        <w:t> </w:t>
      </w:r>
      <w:r>
        <w:rPr>
          <w:b/>
          <w:sz w:val="24"/>
        </w:rPr>
        <w:t>the</w:t>
      </w:r>
      <w:r>
        <w:rPr>
          <w:b/>
          <w:spacing w:val="40"/>
          <w:sz w:val="24"/>
        </w:rPr>
        <w:t> </w:t>
      </w:r>
      <w:r>
        <w:rPr>
          <w:b/>
          <w:sz w:val="24"/>
        </w:rPr>
        <w:t>RECs,</w:t>
      </w:r>
      <w:r>
        <w:rPr>
          <w:b/>
          <w:spacing w:val="40"/>
          <w:sz w:val="24"/>
        </w:rPr>
        <w:t> </w:t>
      </w:r>
      <w:r>
        <w:rPr>
          <w:b/>
          <w:sz w:val="24"/>
        </w:rPr>
        <w:t>an</w:t>
      </w:r>
      <w:r>
        <w:rPr>
          <w:b/>
          <w:spacing w:val="40"/>
          <w:sz w:val="24"/>
        </w:rPr>
        <w:t> </w:t>
      </w:r>
      <w:r>
        <w:rPr>
          <w:b/>
          <w:sz w:val="24"/>
        </w:rPr>
        <w:t>Implementation</w:t>
      </w:r>
      <w:r>
        <w:rPr>
          <w:b/>
          <w:spacing w:val="40"/>
          <w:sz w:val="24"/>
        </w:rPr>
        <w:t> </w:t>
      </w:r>
      <w:r>
        <w:rPr>
          <w:b/>
          <w:sz w:val="24"/>
        </w:rPr>
        <w:t>Programme</w:t>
      </w:r>
      <w:r>
        <w:rPr>
          <w:b/>
          <w:spacing w:val="40"/>
          <w:sz w:val="24"/>
        </w:rPr>
        <w:t> </w:t>
      </w:r>
      <w:r>
        <w:rPr>
          <w:b/>
          <w:sz w:val="24"/>
        </w:rPr>
        <w:t>for</w:t>
      </w:r>
      <w:r>
        <w:rPr>
          <w:b/>
          <w:spacing w:val="40"/>
          <w:sz w:val="24"/>
        </w:rPr>
        <w:t> </w:t>
      </w:r>
      <w:r>
        <w:rPr>
          <w:b/>
          <w:sz w:val="24"/>
        </w:rPr>
        <w:t>the</w:t>
      </w:r>
      <w:r>
        <w:rPr>
          <w:b/>
          <w:spacing w:val="40"/>
          <w:sz w:val="24"/>
        </w:rPr>
        <w:t> </w:t>
      </w:r>
      <w:r>
        <w:rPr>
          <w:b/>
          <w:sz w:val="24"/>
        </w:rPr>
        <w:t>priority</w:t>
      </w:r>
      <w:r>
        <w:rPr>
          <w:b/>
          <w:spacing w:val="40"/>
          <w:sz w:val="24"/>
        </w:rPr>
        <w:t> </w:t>
      </w:r>
      <w:r>
        <w:rPr>
          <w:b/>
          <w:sz w:val="24"/>
        </w:rPr>
        <w:t>issues</w:t>
      </w:r>
    </w:p>
    <w:p>
      <w:pPr>
        <w:spacing w:after="0" w:line="360" w:lineRule="auto"/>
        <w:jc w:val="both"/>
        <w:rPr>
          <w:sz w:val="24"/>
        </w:rPr>
        <w:sectPr>
          <w:type w:val="continuous"/>
          <w:pgSz w:w="12240" w:h="15840"/>
          <w:pgMar w:top="1420" w:bottom="280" w:left="1680" w:right="1680"/>
        </w:sectPr>
      </w:pPr>
    </w:p>
    <w:p>
      <w:pPr>
        <w:pStyle w:val="BodyText"/>
        <w:spacing w:before="76"/>
      </w:pPr>
      <w:r>
        <w:rPr/>
        <w:t>contained</w:t>
      </w:r>
      <w:r>
        <w:rPr>
          <w:spacing w:val="-5"/>
        </w:rPr>
        <w:t> </w:t>
      </w:r>
      <w:r>
        <w:rPr/>
        <w:t>in</w:t>
      </w:r>
      <w:r>
        <w:rPr>
          <w:spacing w:val="-4"/>
        </w:rPr>
        <w:t> </w:t>
      </w:r>
      <w:r>
        <w:rPr/>
        <w:t>the</w:t>
      </w:r>
      <w:r>
        <w:rPr>
          <w:spacing w:val="-6"/>
        </w:rPr>
        <w:t> </w:t>
      </w:r>
      <w:r>
        <w:rPr/>
        <w:t>Cairo</w:t>
      </w:r>
      <w:r>
        <w:rPr>
          <w:spacing w:val="-4"/>
        </w:rPr>
        <w:t> </w:t>
      </w:r>
      <w:r>
        <w:rPr/>
        <w:t>Plan</w:t>
      </w:r>
      <w:r>
        <w:rPr>
          <w:spacing w:val="-4"/>
        </w:rPr>
        <w:t> </w:t>
      </w:r>
      <w:r>
        <w:rPr/>
        <w:t>of</w:t>
      </w:r>
      <w:r>
        <w:rPr>
          <w:spacing w:val="-5"/>
        </w:rPr>
        <w:t> </w:t>
      </w:r>
      <w:r>
        <w:rPr/>
        <w:t>Action</w:t>
      </w:r>
      <w:r>
        <w:rPr>
          <w:spacing w:val="-4"/>
        </w:rPr>
        <w:t> </w:t>
      </w:r>
      <w:r>
        <w:rPr/>
        <w:t>and</w:t>
      </w:r>
      <w:r>
        <w:rPr>
          <w:spacing w:val="-5"/>
        </w:rPr>
        <w:t> </w:t>
      </w:r>
      <w:r>
        <w:rPr/>
        <w:t>report</w:t>
      </w:r>
      <w:r>
        <w:rPr>
          <w:spacing w:val="-4"/>
        </w:rPr>
        <w:t> </w:t>
      </w:r>
      <w:r>
        <w:rPr/>
        <w:t>regularly</w:t>
      </w:r>
      <w:r>
        <w:rPr>
          <w:spacing w:val="-4"/>
        </w:rPr>
        <w:t> </w:t>
      </w:r>
      <w:r>
        <w:rPr/>
        <w:t>thereon</w:t>
      </w:r>
      <w:r>
        <w:rPr>
          <w:spacing w:val="-5"/>
        </w:rPr>
        <w:t> </w:t>
      </w:r>
      <w:r>
        <w:rPr/>
        <w:t>to</w:t>
      </w:r>
      <w:r>
        <w:rPr>
          <w:spacing w:val="-4"/>
        </w:rPr>
        <w:t> </w:t>
      </w:r>
      <w:r>
        <w:rPr>
          <w:spacing w:val="-2"/>
        </w:rPr>
        <w:t>Council;</w:t>
      </w:r>
    </w:p>
    <w:p>
      <w:pPr>
        <w:pStyle w:val="Heading1"/>
        <w:numPr>
          <w:ilvl w:val="0"/>
          <w:numId w:val="1"/>
        </w:numPr>
        <w:tabs>
          <w:tab w:pos="365" w:val="left" w:leader="none"/>
        </w:tabs>
        <w:spacing w:line="240" w:lineRule="auto" w:before="200" w:after="0"/>
        <w:ind w:left="364" w:right="0" w:hanging="245"/>
        <w:jc w:val="both"/>
      </w:pPr>
      <w:r>
        <w:rPr>
          <w:spacing w:val="-2"/>
        </w:rPr>
        <w:t>AFRICA’S</w:t>
      </w:r>
      <w:r>
        <w:rPr>
          <w:spacing w:val="-6"/>
        </w:rPr>
        <w:t> </w:t>
      </w:r>
      <w:r>
        <w:rPr>
          <w:spacing w:val="-2"/>
        </w:rPr>
        <w:t>EXTERNAL</w:t>
      </w:r>
      <w:r>
        <w:rPr>
          <w:spacing w:val="-5"/>
        </w:rPr>
        <w:t> </w:t>
      </w:r>
      <w:r>
        <w:rPr>
          <w:spacing w:val="-4"/>
        </w:rPr>
        <w:t>DEBT</w:t>
      </w:r>
    </w:p>
    <w:p>
      <w:pPr>
        <w:pStyle w:val="ListParagraph"/>
        <w:numPr>
          <w:ilvl w:val="1"/>
          <w:numId w:val="1"/>
        </w:numPr>
        <w:tabs>
          <w:tab w:pos="472" w:val="left" w:leader="none"/>
        </w:tabs>
        <w:spacing w:line="360" w:lineRule="auto" w:before="199" w:after="0"/>
        <w:ind w:left="120" w:right="133" w:firstLine="0"/>
        <w:jc w:val="both"/>
        <w:rPr>
          <w:b/>
          <w:sz w:val="24"/>
        </w:rPr>
      </w:pPr>
      <w:r>
        <w:rPr>
          <w:b/>
          <w:sz w:val="24"/>
        </w:rPr>
        <w:t>Creditors and the International Community are requested to take urgent measures to:</w:t>
      </w:r>
    </w:p>
    <w:p>
      <w:pPr>
        <w:pStyle w:val="ListParagraph"/>
        <w:numPr>
          <w:ilvl w:val="2"/>
          <w:numId w:val="1"/>
        </w:numPr>
        <w:tabs>
          <w:tab w:pos="345" w:val="left" w:leader="none"/>
        </w:tabs>
        <w:spacing w:line="360" w:lineRule="auto" w:before="60" w:after="0"/>
        <w:ind w:left="120" w:right="119" w:firstLine="0"/>
        <w:jc w:val="both"/>
        <w:rPr>
          <w:b/>
          <w:sz w:val="24"/>
        </w:rPr>
      </w:pPr>
      <w:r>
        <w:rPr>
          <w:b/>
          <w:sz w:val="24"/>
        </w:rPr>
        <w:t>Relax the modalities of the initiative in favour of heavily indebted poor countries and extend it to all African countries as a step towards the cancellation of the continent’s external debt;</w:t>
      </w:r>
    </w:p>
    <w:p>
      <w:pPr>
        <w:pStyle w:val="ListParagraph"/>
        <w:numPr>
          <w:ilvl w:val="2"/>
          <w:numId w:val="1"/>
        </w:numPr>
        <w:tabs>
          <w:tab w:pos="472" w:val="left" w:leader="none"/>
        </w:tabs>
        <w:spacing w:line="355" w:lineRule="auto" w:before="64" w:after="0"/>
        <w:ind w:left="120" w:right="128" w:firstLine="0"/>
        <w:jc w:val="both"/>
        <w:rPr>
          <w:b/>
          <w:sz w:val="24"/>
        </w:rPr>
      </w:pPr>
      <w:r>
        <w:rPr>
          <w:b/>
          <w:sz w:val="24"/>
        </w:rPr>
        <w:t>Cancel all outstanding arrears in respect of debt incurred before the new </w:t>
      </w:r>
      <w:r>
        <w:rPr>
          <w:b/>
          <w:spacing w:val="-2"/>
          <w:sz w:val="24"/>
        </w:rPr>
        <w:t>millennium.</w:t>
      </w:r>
    </w:p>
    <w:p>
      <w:pPr>
        <w:pStyle w:val="ListParagraph"/>
        <w:numPr>
          <w:ilvl w:val="1"/>
          <w:numId w:val="1"/>
        </w:numPr>
        <w:tabs>
          <w:tab w:pos="427" w:val="left" w:leader="none"/>
        </w:tabs>
        <w:spacing w:line="355" w:lineRule="auto" w:before="71" w:after="0"/>
        <w:ind w:left="120" w:right="123" w:firstLine="0"/>
        <w:jc w:val="both"/>
        <w:rPr>
          <w:b/>
          <w:sz w:val="24"/>
        </w:rPr>
      </w:pPr>
      <w:r>
        <w:rPr>
          <w:b/>
          <w:sz w:val="24"/>
        </w:rPr>
        <w:t>The General Secretariat is requested to set up a group of Experts to assist the OAU Contact Group on Africa’s External Debt in:</w:t>
      </w:r>
    </w:p>
    <w:p>
      <w:pPr>
        <w:pStyle w:val="ListParagraph"/>
        <w:numPr>
          <w:ilvl w:val="2"/>
          <w:numId w:val="1"/>
        </w:numPr>
        <w:tabs>
          <w:tab w:pos="405" w:val="left" w:leader="none"/>
        </w:tabs>
        <w:spacing w:line="355" w:lineRule="auto" w:before="71" w:after="0"/>
        <w:ind w:left="120" w:right="154" w:hanging="1"/>
        <w:jc w:val="both"/>
        <w:rPr>
          <w:b/>
          <w:sz w:val="24"/>
        </w:rPr>
      </w:pPr>
      <w:r>
        <w:rPr>
          <w:b/>
          <w:sz w:val="24"/>
        </w:rPr>
        <w:t>formulating specific measures aimed at resolving the Africa’s external debt </w:t>
      </w:r>
      <w:r>
        <w:rPr>
          <w:b/>
          <w:spacing w:val="-2"/>
          <w:sz w:val="24"/>
        </w:rPr>
        <w:t>problem;</w:t>
      </w:r>
    </w:p>
    <w:p>
      <w:pPr>
        <w:pStyle w:val="ListParagraph"/>
        <w:numPr>
          <w:ilvl w:val="2"/>
          <w:numId w:val="1"/>
        </w:numPr>
        <w:tabs>
          <w:tab w:pos="450" w:val="left" w:leader="none"/>
        </w:tabs>
        <w:spacing w:line="355" w:lineRule="auto" w:before="71" w:after="0"/>
        <w:ind w:left="120" w:right="130" w:firstLine="0"/>
        <w:jc w:val="both"/>
        <w:rPr>
          <w:b/>
          <w:sz w:val="24"/>
        </w:rPr>
      </w:pPr>
      <w:r>
        <w:rPr>
          <w:b/>
          <w:sz w:val="24"/>
        </w:rPr>
        <w:t>mapping out a common African position for the 2001 event on development </w:t>
      </w:r>
      <w:r>
        <w:rPr>
          <w:b/>
          <w:spacing w:val="-2"/>
          <w:sz w:val="24"/>
        </w:rPr>
        <w:t>financing;</w:t>
      </w:r>
    </w:p>
    <w:p>
      <w:pPr>
        <w:pStyle w:val="ListParagraph"/>
        <w:numPr>
          <w:ilvl w:val="2"/>
          <w:numId w:val="1"/>
        </w:numPr>
        <w:tabs>
          <w:tab w:pos="517" w:val="left" w:leader="none"/>
        </w:tabs>
        <w:spacing w:line="355" w:lineRule="auto" w:before="71" w:after="0"/>
        <w:ind w:left="120" w:right="128" w:firstLine="0"/>
        <w:jc w:val="both"/>
        <w:rPr>
          <w:b/>
          <w:sz w:val="24"/>
        </w:rPr>
      </w:pPr>
      <w:r>
        <w:rPr>
          <w:b/>
          <w:sz w:val="24"/>
        </w:rPr>
        <w:t>formulating concrete proposals on the reform of the international monetary </w:t>
      </w:r>
      <w:r>
        <w:rPr>
          <w:b/>
          <w:spacing w:val="-2"/>
          <w:sz w:val="24"/>
        </w:rPr>
        <w:t>system.</w:t>
      </w:r>
    </w:p>
    <w:p>
      <w:pPr>
        <w:pStyle w:val="ListParagraph"/>
        <w:numPr>
          <w:ilvl w:val="1"/>
          <w:numId w:val="1"/>
        </w:numPr>
        <w:tabs>
          <w:tab w:pos="437" w:val="left" w:leader="none"/>
        </w:tabs>
        <w:spacing w:line="357" w:lineRule="auto" w:before="71" w:after="0"/>
        <w:ind w:left="120" w:right="129" w:firstLine="0"/>
        <w:jc w:val="both"/>
        <w:rPr>
          <w:b/>
          <w:sz w:val="24"/>
        </w:rPr>
      </w:pPr>
      <w:r>
        <w:rPr>
          <w:b/>
          <w:sz w:val="24"/>
        </w:rPr>
        <w:t>The OAU Advisory Committee on Administrative, Budgetary and Financial Matters should take the necessary measures to ensure that adequate funds are earmarked to this effect;</w:t>
      </w:r>
    </w:p>
    <w:p>
      <w:pPr>
        <w:pStyle w:val="ListParagraph"/>
        <w:numPr>
          <w:ilvl w:val="1"/>
          <w:numId w:val="1"/>
        </w:numPr>
        <w:tabs>
          <w:tab w:pos="419" w:val="left" w:leader="none"/>
        </w:tabs>
        <w:spacing w:line="357" w:lineRule="auto" w:before="67" w:after="0"/>
        <w:ind w:left="120" w:right="133" w:firstLine="0"/>
        <w:jc w:val="both"/>
        <w:rPr>
          <w:b/>
          <w:sz w:val="24"/>
        </w:rPr>
      </w:pPr>
      <w:r>
        <w:rPr>
          <w:b/>
          <w:sz w:val="24"/>
        </w:rPr>
        <w:t>Special commendations are extended to the NGOs for resolutely supporting the just cause of Africa for debt cancellation as a way to help the continent relieve itself of the debt burden.</w:t>
      </w:r>
    </w:p>
    <w:p>
      <w:pPr>
        <w:pStyle w:val="Heading1"/>
        <w:numPr>
          <w:ilvl w:val="0"/>
          <w:numId w:val="1"/>
        </w:numPr>
        <w:tabs>
          <w:tab w:pos="365" w:val="left" w:leader="none"/>
        </w:tabs>
        <w:spacing w:line="240" w:lineRule="auto" w:before="63" w:after="0"/>
        <w:ind w:left="364" w:right="0" w:hanging="245"/>
        <w:jc w:val="both"/>
      </w:pPr>
      <w:r>
        <w:rPr/>
        <w:t>TRANSPORT</w:t>
      </w:r>
      <w:r>
        <w:rPr>
          <w:spacing w:val="-12"/>
        </w:rPr>
        <w:t> </w:t>
      </w:r>
      <w:r>
        <w:rPr/>
        <w:t>AND</w:t>
      </w:r>
      <w:r>
        <w:rPr>
          <w:spacing w:val="-11"/>
        </w:rPr>
        <w:t> </w:t>
      </w:r>
      <w:r>
        <w:rPr>
          <w:spacing w:val="-2"/>
        </w:rPr>
        <w:t>COMMUNICATIONS</w:t>
      </w:r>
    </w:p>
    <w:p>
      <w:pPr>
        <w:pStyle w:val="ListParagraph"/>
        <w:numPr>
          <w:ilvl w:val="1"/>
          <w:numId w:val="1"/>
        </w:numPr>
        <w:tabs>
          <w:tab w:pos="456" w:val="left" w:leader="none"/>
        </w:tabs>
        <w:spacing w:line="355" w:lineRule="auto" w:before="204" w:after="0"/>
        <w:ind w:left="120" w:right="124" w:firstLine="0"/>
        <w:jc w:val="both"/>
        <w:rPr>
          <w:b/>
          <w:sz w:val="24"/>
        </w:rPr>
      </w:pPr>
      <w:r>
        <w:rPr>
          <w:b/>
          <w:sz w:val="24"/>
        </w:rPr>
        <w:t>Note is taken of the Conference of African Ministers responsible for Civil </w:t>
      </w:r>
      <w:r>
        <w:rPr>
          <w:b/>
          <w:spacing w:val="-2"/>
          <w:sz w:val="24"/>
        </w:rPr>
        <w:t>Aviation;</w:t>
      </w:r>
    </w:p>
    <w:p>
      <w:pPr>
        <w:pStyle w:val="ListParagraph"/>
        <w:numPr>
          <w:ilvl w:val="1"/>
          <w:numId w:val="1"/>
        </w:numPr>
        <w:tabs>
          <w:tab w:pos="476" w:val="left" w:leader="none"/>
        </w:tabs>
        <w:spacing w:line="357" w:lineRule="auto" w:before="71" w:after="0"/>
        <w:ind w:left="120" w:right="128" w:firstLine="0"/>
        <w:jc w:val="both"/>
        <w:rPr>
          <w:b/>
          <w:sz w:val="24"/>
        </w:rPr>
      </w:pPr>
      <w:r>
        <w:rPr>
          <w:b/>
          <w:sz w:val="24"/>
        </w:rPr>
        <w:t>Decision Relating to the Implementation of the Yamoussoukro Declaration concerning the Liberation of Access to Air Transport Markets in Africa and contained in document CM/2178 (LXXII) is endorsed;</w:t>
      </w:r>
    </w:p>
    <w:p>
      <w:pPr>
        <w:spacing w:after="0" w:line="357" w:lineRule="auto"/>
        <w:jc w:val="both"/>
        <w:rPr>
          <w:sz w:val="24"/>
        </w:rPr>
        <w:sectPr>
          <w:pgSz w:w="12240" w:h="15840"/>
          <w:pgMar w:top="1360" w:bottom="280" w:left="1680" w:right="1680"/>
        </w:sectPr>
      </w:pPr>
    </w:p>
    <w:p>
      <w:pPr>
        <w:pStyle w:val="ListParagraph"/>
        <w:numPr>
          <w:ilvl w:val="1"/>
          <w:numId w:val="1"/>
        </w:numPr>
        <w:tabs>
          <w:tab w:pos="369" w:val="left" w:leader="none"/>
        </w:tabs>
        <w:spacing w:line="240" w:lineRule="auto" w:before="76" w:after="0"/>
        <w:ind w:left="368" w:right="0" w:hanging="249"/>
        <w:jc w:val="left"/>
        <w:rPr>
          <w:b/>
          <w:sz w:val="24"/>
        </w:rPr>
      </w:pPr>
      <w:r>
        <w:rPr>
          <w:b/>
          <w:sz w:val="24"/>
        </w:rPr>
        <w:t>Member</w:t>
      </w:r>
      <w:r>
        <w:rPr>
          <w:b/>
          <w:spacing w:val="-6"/>
          <w:sz w:val="24"/>
        </w:rPr>
        <w:t> </w:t>
      </w:r>
      <w:r>
        <w:rPr>
          <w:b/>
          <w:sz w:val="24"/>
        </w:rPr>
        <w:t>States</w:t>
      </w:r>
      <w:r>
        <w:rPr>
          <w:b/>
          <w:spacing w:val="-5"/>
          <w:sz w:val="24"/>
        </w:rPr>
        <w:t> </w:t>
      </w:r>
      <w:r>
        <w:rPr>
          <w:b/>
          <w:sz w:val="24"/>
        </w:rPr>
        <w:t>are</w:t>
      </w:r>
      <w:r>
        <w:rPr>
          <w:b/>
          <w:spacing w:val="-5"/>
          <w:sz w:val="24"/>
        </w:rPr>
        <w:t> </w:t>
      </w:r>
      <w:r>
        <w:rPr>
          <w:b/>
          <w:sz w:val="24"/>
        </w:rPr>
        <w:t>urged</w:t>
      </w:r>
      <w:r>
        <w:rPr>
          <w:b/>
          <w:spacing w:val="-5"/>
          <w:sz w:val="24"/>
        </w:rPr>
        <w:t> to:</w:t>
      </w:r>
    </w:p>
    <w:p>
      <w:pPr>
        <w:pStyle w:val="ListParagraph"/>
        <w:numPr>
          <w:ilvl w:val="2"/>
          <w:numId w:val="1"/>
        </w:numPr>
        <w:tabs>
          <w:tab w:pos="331" w:val="left" w:leader="none"/>
        </w:tabs>
        <w:spacing w:line="240" w:lineRule="auto" w:before="200" w:after="0"/>
        <w:ind w:left="330" w:right="0" w:hanging="211"/>
        <w:jc w:val="left"/>
        <w:rPr>
          <w:b/>
          <w:sz w:val="24"/>
        </w:rPr>
      </w:pPr>
      <w:r>
        <w:rPr>
          <w:b/>
          <w:sz w:val="24"/>
        </w:rPr>
        <w:t>Adopt</w:t>
      </w:r>
      <w:r>
        <w:rPr>
          <w:b/>
          <w:spacing w:val="-5"/>
          <w:sz w:val="24"/>
        </w:rPr>
        <w:t> </w:t>
      </w:r>
      <w:r>
        <w:rPr>
          <w:b/>
          <w:sz w:val="24"/>
        </w:rPr>
        <w:t>measures</w:t>
      </w:r>
      <w:r>
        <w:rPr>
          <w:b/>
          <w:spacing w:val="-5"/>
          <w:sz w:val="24"/>
        </w:rPr>
        <w:t> </w:t>
      </w:r>
      <w:r>
        <w:rPr>
          <w:b/>
          <w:sz w:val="24"/>
        </w:rPr>
        <w:t>for</w:t>
      </w:r>
      <w:r>
        <w:rPr>
          <w:b/>
          <w:spacing w:val="-5"/>
          <w:sz w:val="24"/>
        </w:rPr>
        <w:t> </w:t>
      </w:r>
      <w:r>
        <w:rPr>
          <w:b/>
          <w:sz w:val="24"/>
        </w:rPr>
        <w:t>speedy</w:t>
      </w:r>
      <w:r>
        <w:rPr>
          <w:b/>
          <w:spacing w:val="-6"/>
          <w:sz w:val="24"/>
        </w:rPr>
        <w:t> </w:t>
      </w:r>
      <w:r>
        <w:rPr>
          <w:b/>
          <w:sz w:val="24"/>
        </w:rPr>
        <w:t>implementation</w:t>
      </w:r>
      <w:r>
        <w:rPr>
          <w:b/>
          <w:spacing w:val="-5"/>
          <w:sz w:val="24"/>
        </w:rPr>
        <w:t> </w:t>
      </w:r>
      <w:r>
        <w:rPr>
          <w:b/>
          <w:sz w:val="24"/>
        </w:rPr>
        <w:t>of</w:t>
      </w:r>
      <w:r>
        <w:rPr>
          <w:b/>
          <w:spacing w:val="-5"/>
          <w:sz w:val="24"/>
        </w:rPr>
        <w:t> </w:t>
      </w:r>
      <w:r>
        <w:rPr>
          <w:b/>
          <w:sz w:val="24"/>
        </w:rPr>
        <w:t>the</w:t>
      </w:r>
      <w:r>
        <w:rPr>
          <w:b/>
          <w:spacing w:val="-6"/>
          <w:sz w:val="24"/>
        </w:rPr>
        <w:t> </w:t>
      </w:r>
      <w:r>
        <w:rPr>
          <w:b/>
          <w:spacing w:val="-2"/>
          <w:sz w:val="24"/>
        </w:rPr>
        <w:t>Decision;</w:t>
      </w:r>
    </w:p>
    <w:p>
      <w:pPr>
        <w:pStyle w:val="ListParagraph"/>
        <w:numPr>
          <w:ilvl w:val="2"/>
          <w:numId w:val="1"/>
        </w:numPr>
        <w:tabs>
          <w:tab w:pos="406" w:val="left" w:leader="none"/>
        </w:tabs>
        <w:spacing w:line="360" w:lineRule="auto" w:before="199" w:after="0"/>
        <w:ind w:left="120" w:right="136" w:firstLine="0"/>
        <w:jc w:val="left"/>
        <w:rPr>
          <w:b/>
          <w:sz w:val="24"/>
        </w:rPr>
      </w:pPr>
      <w:r>
        <w:rPr>
          <w:b/>
          <w:sz w:val="24"/>
        </w:rPr>
        <w:t>Enhance co-operation among them with a view to facilitating development of the air transport industry, particularly air safety in Africa;</w:t>
      </w:r>
    </w:p>
    <w:p>
      <w:pPr>
        <w:pStyle w:val="ListParagraph"/>
        <w:numPr>
          <w:ilvl w:val="1"/>
          <w:numId w:val="1"/>
        </w:numPr>
        <w:tabs>
          <w:tab w:pos="417" w:val="left" w:leader="none"/>
        </w:tabs>
        <w:spacing w:line="360" w:lineRule="auto" w:before="60" w:after="0"/>
        <w:ind w:left="119" w:right="146" w:firstLine="0"/>
        <w:jc w:val="left"/>
        <w:rPr>
          <w:b/>
          <w:sz w:val="24"/>
        </w:rPr>
      </w:pPr>
      <w:r>
        <w:rPr>
          <w:b/>
          <w:sz w:val="24"/>
        </w:rPr>
        <w:t>the Monitoring Body is requested to provide Member States with the necessary support in the implementation of the Decision.</w:t>
      </w:r>
    </w:p>
    <w:p>
      <w:pPr>
        <w:pStyle w:val="ListParagraph"/>
        <w:numPr>
          <w:ilvl w:val="0"/>
          <w:numId w:val="2"/>
        </w:numPr>
        <w:tabs>
          <w:tab w:pos="365" w:val="left" w:leader="none"/>
        </w:tabs>
        <w:spacing w:line="240" w:lineRule="auto" w:before="55" w:after="0"/>
        <w:ind w:left="364" w:right="0" w:hanging="245"/>
        <w:jc w:val="left"/>
        <w:rPr>
          <w:b/>
          <w:sz w:val="24"/>
        </w:rPr>
      </w:pPr>
      <w:r>
        <w:rPr>
          <w:b/>
          <w:sz w:val="24"/>
        </w:rPr>
        <w:t>THIRD</w:t>
      </w:r>
      <w:r>
        <w:rPr>
          <w:b/>
          <w:spacing w:val="-5"/>
          <w:sz w:val="24"/>
        </w:rPr>
        <w:t> </w:t>
      </w:r>
      <w:r>
        <w:rPr>
          <w:b/>
          <w:sz w:val="24"/>
        </w:rPr>
        <w:t>UN</w:t>
      </w:r>
      <w:r>
        <w:rPr>
          <w:b/>
          <w:spacing w:val="-5"/>
          <w:sz w:val="24"/>
        </w:rPr>
        <w:t> </w:t>
      </w:r>
      <w:r>
        <w:rPr>
          <w:b/>
          <w:sz w:val="24"/>
        </w:rPr>
        <w:t>CONFERENCE</w:t>
      </w:r>
      <w:r>
        <w:rPr>
          <w:b/>
          <w:spacing w:val="-5"/>
          <w:sz w:val="24"/>
        </w:rPr>
        <w:t> </w:t>
      </w:r>
      <w:r>
        <w:rPr>
          <w:b/>
          <w:sz w:val="24"/>
        </w:rPr>
        <w:t>ON</w:t>
      </w:r>
      <w:r>
        <w:rPr>
          <w:b/>
          <w:spacing w:val="-5"/>
          <w:sz w:val="24"/>
        </w:rPr>
        <w:t> </w:t>
      </w:r>
      <w:r>
        <w:rPr>
          <w:b/>
          <w:spacing w:val="-4"/>
          <w:sz w:val="24"/>
        </w:rPr>
        <w:t>LDCs</w:t>
      </w:r>
    </w:p>
    <w:p>
      <w:pPr>
        <w:pStyle w:val="ListParagraph"/>
        <w:numPr>
          <w:ilvl w:val="1"/>
          <w:numId w:val="2"/>
        </w:numPr>
        <w:tabs>
          <w:tab w:pos="413" w:val="left" w:leader="none"/>
        </w:tabs>
        <w:spacing w:line="355" w:lineRule="auto" w:before="204" w:after="0"/>
        <w:ind w:left="119" w:right="131" w:firstLine="0"/>
        <w:jc w:val="both"/>
        <w:rPr>
          <w:b/>
          <w:sz w:val="24"/>
        </w:rPr>
      </w:pPr>
      <w:r>
        <w:rPr>
          <w:b/>
          <w:sz w:val="24"/>
        </w:rPr>
        <w:t>Mandate is given to the Chairman of the third UN conference on the LDCs to contact the G8 Countries. In order to secure their support for the conference;</w:t>
      </w:r>
    </w:p>
    <w:p>
      <w:pPr>
        <w:pStyle w:val="ListParagraph"/>
        <w:numPr>
          <w:ilvl w:val="1"/>
          <w:numId w:val="2"/>
        </w:numPr>
        <w:tabs>
          <w:tab w:pos="417" w:val="left" w:leader="none"/>
        </w:tabs>
        <w:spacing w:line="360" w:lineRule="auto" w:before="71" w:after="0"/>
        <w:ind w:left="119" w:right="114" w:firstLine="0"/>
        <w:jc w:val="both"/>
        <w:rPr>
          <w:b/>
          <w:sz w:val="24"/>
        </w:rPr>
      </w:pPr>
      <w:r>
        <w:rPr>
          <w:b/>
          <w:sz w:val="24"/>
        </w:rPr>
        <w:t>The General Secretariat is requested to organize in co-operation with the RECs and relevant UN Agencies, a meeting of all Member States, in order to adopt a co- ordinated African position in preparation for the third UN conference on the Least Developed Countries.</w:t>
      </w:r>
    </w:p>
    <w:p>
      <w:pPr>
        <w:pStyle w:val="BodyText"/>
        <w:spacing w:before="0"/>
        <w:ind w:left="0"/>
        <w:rPr>
          <w:sz w:val="26"/>
        </w:rPr>
      </w:pPr>
    </w:p>
    <w:p>
      <w:pPr>
        <w:pStyle w:val="BodyText"/>
        <w:spacing w:line="412" w:lineRule="auto" w:before="230"/>
        <w:ind w:right="3845" w:hanging="1"/>
      </w:pPr>
      <w:r>
        <w:rPr/>
        <w:t>Done</w:t>
      </w:r>
      <w:r>
        <w:rPr>
          <w:spacing w:val="-7"/>
        </w:rPr>
        <w:t> </w:t>
      </w:r>
      <w:r>
        <w:rPr/>
        <w:t>in</w:t>
      </w:r>
      <w:r>
        <w:rPr>
          <w:spacing w:val="-7"/>
        </w:rPr>
        <w:t> </w:t>
      </w:r>
      <w:r>
        <w:rPr/>
        <w:t>Lome,</w:t>
      </w:r>
      <w:r>
        <w:rPr>
          <w:spacing w:val="-5"/>
        </w:rPr>
        <w:t> </w:t>
      </w:r>
      <w:r>
        <w:rPr/>
        <w:t>Togo</w:t>
      </w:r>
      <w:r>
        <w:rPr>
          <w:spacing w:val="-7"/>
        </w:rPr>
        <w:t> </w:t>
      </w:r>
      <w:r>
        <w:rPr/>
        <w:t>on</w:t>
      </w:r>
      <w:r>
        <w:rPr>
          <w:spacing w:val="-7"/>
        </w:rPr>
        <w:t> </w:t>
      </w:r>
      <w:r>
        <w:rPr/>
        <w:t>12</w:t>
      </w:r>
      <w:r>
        <w:rPr>
          <w:spacing w:val="-7"/>
        </w:rPr>
        <w:t> </w:t>
      </w:r>
      <w:r>
        <w:rPr/>
        <w:t>July,</w:t>
      </w:r>
      <w:r>
        <w:rPr>
          <w:spacing w:val="-5"/>
        </w:rPr>
        <w:t> </w:t>
      </w:r>
      <w:r>
        <w:rPr/>
        <w:t>2000 Gnassingbe EYADEMA</w:t>
      </w:r>
    </w:p>
    <w:p>
      <w:pPr>
        <w:pStyle w:val="BodyText"/>
        <w:spacing w:line="412" w:lineRule="auto" w:before="1"/>
        <w:ind w:left="119" w:right="4338"/>
      </w:pPr>
      <w:r>
        <w:rPr/>
        <w:t>President</w:t>
      </w:r>
      <w:r>
        <w:rPr>
          <w:spacing w:val="-8"/>
        </w:rPr>
        <w:t> </w:t>
      </w:r>
      <w:r>
        <w:rPr/>
        <w:t>of</w:t>
      </w:r>
      <w:r>
        <w:rPr>
          <w:spacing w:val="-9"/>
        </w:rPr>
        <w:t> </w:t>
      </w:r>
      <w:r>
        <w:rPr/>
        <w:t>the</w:t>
      </w:r>
      <w:r>
        <w:rPr>
          <w:spacing w:val="-9"/>
        </w:rPr>
        <w:t> </w:t>
      </w:r>
      <w:r>
        <w:rPr/>
        <w:t>Republic</w:t>
      </w:r>
      <w:r>
        <w:rPr>
          <w:spacing w:val="-9"/>
        </w:rPr>
        <w:t> </w:t>
      </w:r>
      <w:r>
        <w:rPr/>
        <w:t>of</w:t>
      </w:r>
      <w:r>
        <w:rPr>
          <w:spacing w:val="-9"/>
        </w:rPr>
        <w:t> </w:t>
      </w:r>
      <w:r>
        <w:rPr/>
        <w:t>Togo Chairman of the Assembly</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364" w:hanging="245"/>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20" w:hanging="293"/>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306" w:hanging="293"/>
      </w:pPr>
      <w:rPr>
        <w:rFonts w:hint="default"/>
        <w:lang w:val="en-US" w:eastAsia="en-US" w:bidi="ar-SA"/>
      </w:rPr>
    </w:lvl>
    <w:lvl w:ilvl="3">
      <w:start w:val="0"/>
      <w:numFmt w:val="bullet"/>
      <w:lvlText w:val="•"/>
      <w:lvlJc w:val="left"/>
      <w:pPr>
        <w:ind w:left="2253" w:hanging="293"/>
      </w:pPr>
      <w:rPr>
        <w:rFonts w:hint="default"/>
        <w:lang w:val="en-US" w:eastAsia="en-US" w:bidi="ar-SA"/>
      </w:rPr>
    </w:lvl>
    <w:lvl w:ilvl="4">
      <w:start w:val="0"/>
      <w:numFmt w:val="bullet"/>
      <w:lvlText w:val="•"/>
      <w:lvlJc w:val="left"/>
      <w:pPr>
        <w:ind w:left="3200" w:hanging="293"/>
      </w:pPr>
      <w:rPr>
        <w:rFonts w:hint="default"/>
        <w:lang w:val="en-US" w:eastAsia="en-US" w:bidi="ar-SA"/>
      </w:rPr>
    </w:lvl>
    <w:lvl w:ilvl="5">
      <w:start w:val="0"/>
      <w:numFmt w:val="bullet"/>
      <w:lvlText w:val="•"/>
      <w:lvlJc w:val="left"/>
      <w:pPr>
        <w:ind w:left="4146" w:hanging="293"/>
      </w:pPr>
      <w:rPr>
        <w:rFonts w:hint="default"/>
        <w:lang w:val="en-US" w:eastAsia="en-US" w:bidi="ar-SA"/>
      </w:rPr>
    </w:lvl>
    <w:lvl w:ilvl="6">
      <w:start w:val="0"/>
      <w:numFmt w:val="bullet"/>
      <w:lvlText w:val="•"/>
      <w:lvlJc w:val="left"/>
      <w:pPr>
        <w:ind w:left="5093" w:hanging="293"/>
      </w:pPr>
      <w:rPr>
        <w:rFonts w:hint="default"/>
        <w:lang w:val="en-US" w:eastAsia="en-US" w:bidi="ar-SA"/>
      </w:rPr>
    </w:lvl>
    <w:lvl w:ilvl="7">
      <w:start w:val="0"/>
      <w:numFmt w:val="bullet"/>
      <w:lvlText w:val="•"/>
      <w:lvlJc w:val="left"/>
      <w:pPr>
        <w:ind w:left="6040" w:hanging="293"/>
      </w:pPr>
      <w:rPr>
        <w:rFonts w:hint="default"/>
        <w:lang w:val="en-US" w:eastAsia="en-US" w:bidi="ar-SA"/>
      </w:rPr>
    </w:lvl>
    <w:lvl w:ilvl="8">
      <w:start w:val="0"/>
      <w:numFmt w:val="bullet"/>
      <w:lvlText w:val="•"/>
      <w:lvlJc w:val="left"/>
      <w:pPr>
        <w:ind w:left="6986" w:hanging="293"/>
      </w:pPr>
      <w:rPr>
        <w:rFonts w:hint="default"/>
        <w:lang w:val="en-US" w:eastAsia="en-US" w:bidi="ar-SA"/>
      </w:rPr>
    </w:lvl>
  </w:abstractNum>
  <w:abstractNum w:abstractNumId="0">
    <w:multiLevelType w:val="hybridMultilevel"/>
    <w:lvl w:ilvl="0">
      <w:start w:val="1"/>
      <w:numFmt w:val="decimal"/>
      <w:lvlText w:val="%1."/>
      <w:lvlJc w:val="left"/>
      <w:pPr>
        <w:ind w:left="364" w:hanging="245"/>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20" w:hanging="298"/>
        <w:jc w:val="left"/>
      </w:pPr>
      <w:rPr>
        <w:rFonts w:hint="default" w:ascii="Times New Roman" w:hAnsi="Times New Roman" w:eastAsia="Times New Roman" w:cs="Times New Roman"/>
        <w:b/>
        <w:bCs/>
        <w:i w:val="0"/>
        <w:iCs w:val="0"/>
        <w:w w:val="100"/>
        <w:sz w:val="24"/>
        <w:szCs w:val="24"/>
        <w:lang w:val="en-US" w:eastAsia="en-US" w:bidi="ar-SA"/>
      </w:rPr>
    </w:lvl>
    <w:lvl w:ilvl="2">
      <w:start w:val="1"/>
      <w:numFmt w:val="lowerRoman"/>
      <w:lvlText w:val="%3)"/>
      <w:lvlJc w:val="left"/>
      <w:pPr>
        <w:ind w:left="120" w:hanging="225"/>
        <w:jc w:val="left"/>
      </w:pPr>
      <w:rPr>
        <w:rFonts w:hint="default" w:ascii="Times New Roman" w:hAnsi="Times New Roman" w:eastAsia="Times New Roman" w:cs="Times New Roman"/>
        <w:b/>
        <w:bCs/>
        <w:i w:val="0"/>
        <w:iCs w:val="0"/>
        <w:w w:val="100"/>
        <w:sz w:val="24"/>
        <w:szCs w:val="24"/>
        <w:lang w:val="en-US" w:eastAsia="en-US" w:bidi="ar-SA"/>
      </w:rPr>
    </w:lvl>
    <w:lvl w:ilvl="3">
      <w:start w:val="0"/>
      <w:numFmt w:val="bullet"/>
      <w:lvlText w:val="•"/>
      <w:lvlJc w:val="left"/>
      <w:pPr>
        <w:ind w:left="1425" w:hanging="225"/>
      </w:pPr>
      <w:rPr>
        <w:rFonts w:hint="default"/>
        <w:lang w:val="en-US" w:eastAsia="en-US" w:bidi="ar-SA"/>
      </w:rPr>
    </w:lvl>
    <w:lvl w:ilvl="4">
      <w:start w:val="0"/>
      <w:numFmt w:val="bullet"/>
      <w:lvlText w:val="•"/>
      <w:lvlJc w:val="left"/>
      <w:pPr>
        <w:ind w:left="2490" w:hanging="225"/>
      </w:pPr>
      <w:rPr>
        <w:rFonts w:hint="default"/>
        <w:lang w:val="en-US" w:eastAsia="en-US" w:bidi="ar-SA"/>
      </w:rPr>
    </w:lvl>
    <w:lvl w:ilvl="5">
      <w:start w:val="0"/>
      <w:numFmt w:val="bullet"/>
      <w:lvlText w:val="•"/>
      <w:lvlJc w:val="left"/>
      <w:pPr>
        <w:ind w:left="3555" w:hanging="225"/>
      </w:pPr>
      <w:rPr>
        <w:rFonts w:hint="default"/>
        <w:lang w:val="en-US" w:eastAsia="en-US" w:bidi="ar-SA"/>
      </w:rPr>
    </w:lvl>
    <w:lvl w:ilvl="6">
      <w:start w:val="0"/>
      <w:numFmt w:val="bullet"/>
      <w:lvlText w:val="•"/>
      <w:lvlJc w:val="left"/>
      <w:pPr>
        <w:ind w:left="4620" w:hanging="225"/>
      </w:pPr>
      <w:rPr>
        <w:rFonts w:hint="default"/>
        <w:lang w:val="en-US" w:eastAsia="en-US" w:bidi="ar-SA"/>
      </w:rPr>
    </w:lvl>
    <w:lvl w:ilvl="7">
      <w:start w:val="0"/>
      <w:numFmt w:val="bullet"/>
      <w:lvlText w:val="•"/>
      <w:lvlJc w:val="left"/>
      <w:pPr>
        <w:ind w:left="5685" w:hanging="225"/>
      </w:pPr>
      <w:rPr>
        <w:rFonts w:hint="default"/>
        <w:lang w:val="en-US" w:eastAsia="en-US" w:bidi="ar-SA"/>
      </w:rPr>
    </w:lvl>
    <w:lvl w:ilvl="8">
      <w:start w:val="0"/>
      <w:numFmt w:val="bullet"/>
      <w:lvlText w:val="•"/>
      <w:lvlJc w:val="left"/>
      <w:pPr>
        <w:ind w:left="6750" w:hanging="22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71"/>
      <w:ind w:left="120"/>
    </w:pPr>
    <w:rPr>
      <w:rFonts w:ascii="Times New Roman" w:hAnsi="Times New Roman" w:eastAsia="Times New Roman" w:cs="Times New Roman"/>
      <w:b/>
      <w:bCs/>
      <w:sz w:val="24"/>
      <w:szCs w:val="24"/>
      <w:lang w:val="en-US" w:eastAsia="en-US" w:bidi="ar-SA"/>
    </w:rPr>
  </w:style>
  <w:style w:styleId="Heading1" w:type="paragraph">
    <w:name w:val="Heading 1"/>
    <w:basedOn w:val="Normal"/>
    <w:uiPriority w:val="1"/>
    <w:qFormat/>
    <w:pPr>
      <w:spacing w:before="7"/>
      <w:ind w:left="364" w:hanging="246"/>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71"/>
      <w:ind w:left="1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2023-04-01T19:52:19Z</dcterms:created>
  <dcterms:modified xsi:type="dcterms:W3CDTF">2023-04-01T19:52:19Z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