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17" w:right="0" w:firstLine="0"/>
        <w:jc w:val="left"/>
        <w:rPr>
          <w:b/>
          <w:i/>
          <w:sz w:val="22"/>
        </w:rPr>
      </w:pPr>
      <w:r>
        <w:rPr>
          <w:b/>
          <w:i/>
          <w:color w:val="000000"/>
          <w:sz w:val="22"/>
          <w:shd w:fill="BFBFBF" w:color="auto" w:val="clear"/>
        </w:rPr>
        <w:t>AHG/Dec.122</w:t>
      </w:r>
      <w:r>
        <w:rPr>
          <w:b/>
          <w:i/>
          <w:color w:val="000000"/>
          <w:spacing w:val="26"/>
          <w:sz w:val="22"/>
          <w:shd w:fill="BFBFBF" w:color="auto" w:val="clear"/>
        </w:rPr>
        <w:t> </w:t>
      </w:r>
      <w:r>
        <w:rPr>
          <w:b/>
          <w:i/>
          <w:color w:val="000000"/>
          <w:spacing w:val="-2"/>
          <w:sz w:val="22"/>
          <w:shd w:fill="BFBFBF" w:color="auto" w:val="clear"/>
        </w:rPr>
        <w:t>(XXXIII)</w:t>
      </w:r>
    </w:p>
    <w:p>
      <w:pPr>
        <w:pStyle w:val="BodyText"/>
        <w:rPr>
          <w:i/>
          <w:sz w:val="20"/>
        </w:rPr>
      </w:pPr>
    </w:p>
    <w:p>
      <w:pPr>
        <w:pStyle w:val="BodyText"/>
        <w:spacing w:before="10"/>
        <w:rPr>
          <w:i/>
          <w:sz w:val="16"/>
        </w:rPr>
      </w:pPr>
    </w:p>
    <w:p>
      <w:pPr>
        <w:pStyle w:val="BodyText"/>
        <w:spacing w:before="96"/>
        <w:ind w:left="1292" w:right="1229"/>
        <w:jc w:val="center"/>
      </w:pPr>
      <w:r>
        <w:rPr>
          <w:spacing w:val="-2"/>
          <w:u w:val="single"/>
        </w:rPr>
        <w:t>DECISION</w:t>
      </w:r>
    </w:p>
    <w:p>
      <w:pPr>
        <w:pStyle w:val="BodyText"/>
        <w:rPr>
          <w:sz w:val="20"/>
        </w:rPr>
      </w:pPr>
    </w:p>
    <w:p>
      <w:pPr>
        <w:pStyle w:val="BodyText"/>
        <w:spacing w:before="8"/>
        <w:rPr>
          <w:sz w:val="17"/>
        </w:rPr>
      </w:pPr>
    </w:p>
    <w:p>
      <w:pPr>
        <w:pStyle w:val="BodyText"/>
        <w:spacing w:before="96"/>
        <w:ind w:left="1292" w:right="1240"/>
        <w:jc w:val="center"/>
      </w:pPr>
      <w:r>
        <w:rPr>
          <w:u w:val="single"/>
        </w:rPr>
        <w:t>United</w:t>
      </w:r>
      <w:r>
        <w:rPr>
          <w:spacing w:val="7"/>
          <w:u w:val="single"/>
        </w:rPr>
        <w:t> </w:t>
      </w:r>
      <w:r>
        <w:rPr>
          <w:u w:val="single"/>
        </w:rPr>
        <w:t>Nations</w:t>
      </w:r>
      <w:r>
        <w:rPr>
          <w:spacing w:val="8"/>
          <w:u w:val="single"/>
        </w:rPr>
        <w:t> </w:t>
      </w:r>
      <w:r>
        <w:rPr>
          <w:u w:val="single"/>
        </w:rPr>
        <w:t>Regional</w:t>
      </w:r>
      <w:r>
        <w:rPr>
          <w:spacing w:val="8"/>
          <w:u w:val="single"/>
        </w:rPr>
        <w:t> </w:t>
      </w:r>
      <w:r>
        <w:rPr>
          <w:u w:val="single"/>
        </w:rPr>
        <w:t>Centre</w:t>
      </w:r>
      <w:r>
        <w:rPr>
          <w:spacing w:val="8"/>
          <w:u w:val="single"/>
        </w:rPr>
        <w:t> </w:t>
      </w:r>
      <w:r>
        <w:rPr>
          <w:u w:val="single"/>
        </w:rPr>
        <w:t>for</w:t>
      </w:r>
      <w:r>
        <w:rPr>
          <w:spacing w:val="8"/>
          <w:u w:val="single"/>
        </w:rPr>
        <w:t> </w:t>
      </w:r>
      <w:r>
        <w:rPr>
          <w:u w:val="single"/>
        </w:rPr>
        <w:t>Peace</w:t>
      </w:r>
      <w:r>
        <w:rPr>
          <w:spacing w:val="8"/>
          <w:u w:val="single"/>
        </w:rPr>
        <w:t> </w:t>
      </w:r>
      <w:r>
        <w:rPr>
          <w:u w:val="single"/>
        </w:rPr>
        <w:t>and</w:t>
      </w:r>
      <w:r>
        <w:rPr>
          <w:spacing w:val="8"/>
          <w:u w:val="single"/>
        </w:rPr>
        <w:t> </w:t>
      </w:r>
      <w:r>
        <w:rPr>
          <w:u w:val="single"/>
        </w:rPr>
        <w:t>Disarmament</w:t>
      </w:r>
      <w:r>
        <w:rPr>
          <w:spacing w:val="8"/>
          <w:u w:val="single"/>
        </w:rPr>
        <w:t> </w:t>
      </w:r>
      <w:r>
        <w:rPr>
          <w:u w:val="single"/>
        </w:rPr>
        <w:t>in</w:t>
      </w:r>
      <w:r>
        <w:rPr>
          <w:spacing w:val="7"/>
          <w:u w:val="single"/>
        </w:rPr>
        <w:t> </w:t>
      </w:r>
      <w:r>
        <w:rPr>
          <w:spacing w:val="-2"/>
          <w:u w:val="single"/>
        </w:rPr>
        <w:t>Africa</w:t>
      </w:r>
    </w:p>
    <w:p>
      <w:pPr>
        <w:pStyle w:val="BodyText"/>
        <w:rPr>
          <w:sz w:val="20"/>
        </w:rPr>
      </w:pPr>
    </w:p>
    <w:p>
      <w:pPr>
        <w:pStyle w:val="BodyText"/>
        <w:spacing w:before="3"/>
        <w:rPr>
          <w:sz w:val="17"/>
        </w:rPr>
      </w:pPr>
    </w:p>
    <w:p>
      <w:pPr>
        <w:pStyle w:val="BodyText"/>
        <w:spacing w:before="96"/>
        <w:ind w:left="117"/>
      </w:pPr>
      <w:r>
        <w:rPr>
          <w:u w:val="single"/>
        </w:rPr>
        <w:t>(Doc.</w:t>
      </w:r>
      <w:r>
        <w:rPr>
          <w:spacing w:val="9"/>
          <w:u w:val="single"/>
        </w:rPr>
        <w:t> </w:t>
      </w:r>
      <w:r>
        <w:rPr>
          <w:u w:val="single"/>
        </w:rPr>
        <w:t>CM/1999</w:t>
      </w:r>
      <w:r>
        <w:rPr>
          <w:spacing w:val="10"/>
          <w:u w:val="single"/>
        </w:rPr>
        <w:t> </w:t>
      </w:r>
      <w:r>
        <w:rPr>
          <w:u w:val="single"/>
        </w:rPr>
        <w:t>(LXVI)</w:t>
      </w:r>
      <w:r>
        <w:rPr>
          <w:spacing w:val="8"/>
          <w:u w:val="single"/>
        </w:rPr>
        <w:t> </w:t>
      </w:r>
      <w:r>
        <w:rPr>
          <w:spacing w:val="-2"/>
          <w:u w:val="single"/>
        </w:rPr>
        <w:t>Add.1))</w:t>
      </w:r>
    </w:p>
    <w:p>
      <w:pPr>
        <w:pStyle w:val="BodyText"/>
        <w:rPr>
          <w:sz w:val="20"/>
        </w:rPr>
      </w:pPr>
    </w:p>
    <w:p>
      <w:pPr>
        <w:pStyle w:val="BodyText"/>
        <w:spacing w:before="3"/>
        <w:rPr>
          <w:sz w:val="17"/>
        </w:rPr>
      </w:pPr>
    </w:p>
    <w:p>
      <w:pPr>
        <w:pStyle w:val="BodyText"/>
        <w:spacing w:before="96"/>
        <w:ind w:left="117"/>
      </w:pPr>
      <w:r>
        <w:rPr/>
        <w:t>The</w:t>
      </w:r>
      <w:r>
        <w:rPr>
          <w:spacing w:val="9"/>
        </w:rPr>
        <w:t> </w:t>
      </w:r>
      <w:r>
        <w:rPr/>
        <w:t>Assembly</w:t>
      </w:r>
      <w:r>
        <w:rPr>
          <w:spacing w:val="10"/>
        </w:rPr>
        <w:t> </w:t>
      </w:r>
      <w:r>
        <w:rPr/>
        <w:t>of</w:t>
      </w:r>
      <w:r>
        <w:rPr>
          <w:spacing w:val="9"/>
        </w:rPr>
        <w:t> </w:t>
      </w:r>
      <w:r>
        <w:rPr/>
        <w:t>Heads</w:t>
      </w:r>
      <w:r>
        <w:rPr>
          <w:spacing w:val="10"/>
        </w:rPr>
        <w:t> </w:t>
      </w:r>
      <w:r>
        <w:rPr/>
        <w:t>of</w:t>
      </w:r>
      <w:r>
        <w:rPr>
          <w:spacing w:val="9"/>
        </w:rPr>
        <w:t> </w:t>
      </w:r>
      <w:r>
        <w:rPr/>
        <w:t>State</w:t>
      </w:r>
      <w:r>
        <w:rPr>
          <w:spacing w:val="10"/>
        </w:rPr>
        <w:t> </w:t>
      </w:r>
      <w:r>
        <w:rPr/>
        <w:t>and</w:t>
      </w:r>
      <w:r>
        <w:rPr>
          <w:spacing w:val="10"/>
        </w:rPr>
        <w:t> </w:t>
      </w:r>
      <w:r>
        <w:rPr>
          <w:spacing w:val="-2"/>
        </w:rPr>
        <w:t>Government:</w:t>
      </w:r>
    </w:p>
    <w:p>
      <w:pPr>
        <w:pStyle w:val="BodyText"/>
        <w:rPr>
          <w:sz w:val="24"/>
        </w:rPr>
      </w:pPr>
    </w:p>
    <w:p>
      <w:pPr>
        <w:pStyle w:val="BodyText"/>
        <w:spacing w:before="7"/>
        <w:rPr>
          <w:sz w:val="21"/>
        </w:rPr>
      </w:pPr>
    </w:p>
    <w:p>
      <w:pPr>
        <w:pStyle w:val="ListParagraph"/>
        <w:numPr>
          <w:ilvl w:val="0"/>
          <w:numId w:val="1"/>
        </w:numPr>
        <w:tabs>
          <w:tab w:pos="794" w:val="left" w:leader="none"/>
          <w:tab w:pos="795" w:val="left" w:leader="none"/>
        </w:tabs>
        <w:spacing w:line="240" w:lineRule="auto" w:before="0" w:after="0"/>
        <w:ind w:left="794" w:right="0" w:hanging="678"/>
        <w:jc w:val="left"/>
        <w:rPr>
          <w:b/>
          <w:sz w:val="22"/>
        </w:rPr>
      </w:pPr>
      <w:r>
        <w:rPr>
          <w:b/>
          <w:sz w:val="22"/>
        </w:rPr>
        <w:t>TAKES</w:t>
      </w:r>
      <w:r>
        <w:rPr>
          <w:b/>
          <w:spacing w:val="8"/>
          <w:sz w:val="22"/>
        </w:rPr>
        <w:t> </w:t>
      </w:r>
      <w:r>
        <w:rPr>
          <w:b/>
          <w:sz w:val="22"/>
        </w:rPr>
        <w:t>NOTE</w:t>
      </w:r>
      <w:r>
        <w:rPr>
          <w:b/>
          <w:spacing w:val="11"/>
          <w:sz w:val="22"/>
        </w:rPr>
        <w:t> </w:t>
      </w:r>
      <w:r>
        <w:rPr>
          <w:b/>
          <w:sz w:val="22"/>
        </w:rPr>
        <w:t>of</w:t>
      </w:r>
      <w:r>
        <w:rPr>
          <w:b/>
          <w:spacing w:val="13"/>
          <w:sz w:val="22"/>
        </w:rPr>
        <w:t> </w:t>
      </w:r>
      <w:r>
        <w:rPr>
          <w:b/>
          <w:sz w:val="22"/>
        </w:rPr>
        <w:t>the</w:t>
      </w:r>
      <w:r>
        <w:rPr>
          <w:b/>
          <w:spacing w:val="12"/>
          <w:sz w:val="22"/>
        </w:rPr>
        <w:t> </w:t>
      </w:r>
      <w:r>
        <w:rPr>
          <w:b/>
          <w:spacing w:val="-2"/>
          <w:sz w:val="22"/>
        </w:rPr>
        <w:t>report;</w:t>
      </w:r>
    </w:p>
    <w:p>
      <w:pPr>
        <w:pStyle w:val="BodyText"/>
        <w:rPr>
          <w:sz w:val="24"/>
        </w:rPr>
      </w:pPr>
    </w:p>
    <w:p>
      <w:pPr>
        <w:pStyle w:val="BodyText"/>
        <w:spacing w:before="1"/>
      </w:pPr>
    </w:p>
    <w:p>
      <w:pPr>
        <w:pStyle w:val="ListParagraph"/>
        <w:numPr>
          <w:ilvl w:val="0"/>
          <w:numId w:val="1"/>
        </w:numPr>
        <w:tabs>
          <w:tab w:pos="794" w:val="left" w:leader="none"/>
          <w:tab w:pos="795" w:val="left" w:leader="none"/>
        </w:tabs>
        <w:spacing w:line="367" w:lineRule="auto" w:before="0" w:after="0"/>
        <w:ind w:left="794" w:right="319" w:hanging="677"/>
        <w:jc w:val="left"/>
        <w:rPr>
          <w:b/>
          <w:sz w:val="22"/>
        </w:rPr>
      </w:pPr>
      <w:r>
        <w:rPr>
          <w:b/>
          <w:sz w:val="22"/>
        </w:rPr>
        <w:t>COMMENDS the Regional Centre for the activities so far carried out to promote dialogue at regional and sub-regional levels and the dissemination of information on peace, security and disarmament in Africa, despite its limited financial resources;</w:t>
      </w:r>
    </w:p>
    <w:p>
      <w:pPr>
        <w:pStyle w:val="BodyText"/>
        <w:spacing w:before="3"/>
        <w:rPr>
          <w:sz w:val="34"/>
        </w:rPr>
      </w:pPr>
    </w:p>
    <w:p>
      <w:pPr>
        <w:pStyle w:val="ListParagraph"/>
        <w:numPr>
          <w:ilvl w:val="0"/>
          <w:numId w:val="1"/>
        </w:numPr>
        <w:tabs>
          <w:tab w:pos="794" w:val="left" w:leader="none"/>
          <w:tab w:pos="795" w:val="left" w:leader="none"/>
          <w:tab w:pos="2041" w:val="left" w:leader="none"/>
          <w:tab w:pos="4191" w:val="left" w:leader="none"/>
          <w:tab w:pos="5728" w:val="left" w:leader="none"/>
        </w:tabs>
        <w:spacing w:line="369" w:lineRule="auto" w:before="0" w:after="0"/>
        <w:ind w:left="794" w:right="98" w:hanging="677"/>
        <w:jc w:val="left"/>
        <w:rPr>
          <w:b/>
          <w:sz w:val="22"/>
        </w:rPr>
      </w:pPr>
      <w:r>
        <w:rPr>
          <w:b/>
          <w:sz w:val="22"/>
        </w:rPr>
        <w:t>REAFFIRMS the need to keep the Centre operational in accordance with its mandate and the necessity for it the latter to work in close collaboration with the OAU Mechanism for Conflict Prevention, Management and Resolution for the promotion of </w:t>
      </w:r>
      <w:r>
        <w:rPr>
          <w:b/>
          <w:spacing w:val="-2"/>
          <w:sz w:val="22"/>
        </w:rPr>
        <w:t>preventive</w:t>
      </w:r>
      <w:r>
        <w:rPr>
          <w:b/>
          <w:sz w:val="22"/>
        </w:rPr>
        <w:tab/>
        <w:t>diplomacy, peaceful</w:t>
        <w:tab/>
        <w:t>resolution</w:t>
      </w:r>
      <w:r>
        <w:rPr>
          <w:b/>
          <w:spacing w:val="80"/>
          <w:sz w:val="22"/>
        </w:rPr>
        <w:t> </w:t>
      </w:r>
      <w:r>
        <w:rPr>
          <w:b/>
          <w:sz w:val="22"/>
        </w:rPr>
        <w:t>of</w:t>
        <w:tab/>
        <w:t>conflicts, disarmament, peace, security and humanitarian activities;</w:t>
      </w:r>
    </w:p>
    <w:p>
      <w:pPr>
        <w:pStyle w:val="BodyText"/>
        <w:spacing w:before="5"/>
        <w:rPr>
          <w:sz w:val="33"/>
        </w:rPr>
      </w:pPr>
    </w:p>
    <w:p>
      <w:pPr>
        <w:pStyle w:val="ListParagraph"/>
        <w:numPr>
          <w:ilvl w:val="0"/>
          <w:numId w:val="1"/>
        </w:numPr>
        <w:tabs>
          <w:tab w:pos="794" w:val="left" w:leader="none"/>
          <w:tab w:pos="795" w:val="left" w:leader="none"/>
        </w:tabs>
        <w:spacing w:line="369" w:lineRule="auto" w:before="0" w:after="0"/>
        <w:ind w:left="794" w:right="411" w:hanging="677"/>
        <w:jc w:val="left"/>
        <w:rPr>
          <w:b/>
          <w:sz w:val="22"/>
        </w:rPr>
      </w:pPr>
      <w:r>
        <w:rPr>
          <w:b/>
          <w:sz w:val="22"/>
        </w:rPr>
        <w:t>INVITES African States and African Sub-regional Organizations to make annual payments to the Special Trust Fund and the International Community to make voluntary contributions to enable the Regional Centre to successfully implement its programme of activities and improve its services;</w:t>
      </w:r>
    </w:p>
    <w:p>
      <w:pPr>
        <w:pStyle w:val="BodyText"/>
        <w:rPr>
          <w:sz w:val="34"/>
        </w:rPr>
      </w:pPr>
    </w:p>
    <w:p>
      <w:pPr>
        <w:pStyle w:val="ListParagraph"/>
        <w:numPr>
          <w:ilvl w:val="0"/>
          <w:numId w:val="1"/>
        </w:numPr>
        <w:tabs>
          <w:tab w:pos="794" w:val="left" w:leader="none"/>
          <w:tab w:pos="795" w:val="left" w:leader="none"/>
        </w:tabs>
        <w:spacing w:line="369" w:lineRule="auto" w:before="0" w:after="0"/>
        <w:ind w:left="794" w:right="570" w:hanging="677"/>
        <w:jc w:val="left"/>
        <w:rPr>
          <w:b/>
          <w:sz w:val="22"/>
        </w:rPr>
      </w:pPr>
      <w:r>
        <w:rPr>
          <w:b/>
          <w:sz w:val="22"/>
        </w:rPr>
        <w:t>REQUESTS the UN Secretary-General to appoint a Director to be based at the Headquarters of the Centre and take appropriate measures to enable the latter to discharge its responsibility;</w:t>
      </w:r>
    </w:p>
    <w:p>
      <w:pPr>
        <w:pStyle w:val="BodyText"/>
        <w:spacing w:before="7"/>
        <w:rPr>
          <w:sz w:val="33"/>
        </w:rPr>
      </w:pPr>
    </w:p>
    <w:p>
      <w:pPr>
        <w:pStyle w:val="ListParagraph"/>
        <w:numPr>
          <w:ilvl w:val="0"/>
          <w:numId w:val="1"/>
        </w:numPr>
        <w:tabs>
          <w:tab w:pos="795" w:val="left" w:leader="none"/>
        </w:tabs>
        <w:spacing w:line="369" w:lineRule="auto" w:before="0" w:after="0"/>
        <w:ind w:left="794" w:right="217" w:hanging="677"/>
        <w:jc w:val="both"/>
        <w:rPr>
          <w:b/>
          <w:sz w:val="22"/>
        </w:rPr>
      </w:pPr>
      <w:r>
        <w:rPr>
          <w:b/>
          <w:sz w:val="22"/>
        </w:rPr>
        <w:t>ALSO REQUESTS the UN General Assembly to invite the United Nations Secretary- General to take the necessary administrative measures to ensure, among other things the smooth functioning of the Centre, bearing in mind the role to be played by the</w:t>
      </w:r>
    </w:p>
    <w:p>
      <w:pPr>
        <w:spacing w:after="0" w:line="369" w:lineRule="auto"/>
        <w:jc w:val="both"/>
        <w:rPr>
          <w:sz w:val="22"/>
        </w:rPr>
        <w:sectPr>
          <w:type w:val="continuous"/>
          <w:pgSz w:w="12240" w:h="15840"/>
          <w:pgMar w:top="1300" w:bottom="280" w:left="1500" w:right="1540"/>
        </w:sectPr>
      </w:pPr>
    </w:p>
    <w:p>
      <w:pPr>
        <w:pStyle w:val="BodyText"/>
        <w:spacing w:line="369" w:lineRule="auto" w:before="83"/>
        <w:ind w:left="794" w:right="337"/>
      </w:pPr>
      <w:r>
        <w:rPr/>
        <w:t>Centre as part of conflicts prevention and maintenance of peace and security in </w:t>
      </w:r>
      <w:r>
        <w:rPr>
          <w:spacing w:val="-2"/>
        </w:rPr>
        <w:t>Africa;</w:t>
      </w:r>
    </w:p>
    <w:p>
      <w:pPr>
        <w:pStyle w:val="BodyText"/>
        <w:spacing w:before="8"/>
        <w:rPr>
          <w:sz w:val="33"/>
        </w:rPr>
      </w:pPr>
    </w:p>
    <w:p>
      <w:pPr>
        <w:pStyle w:val="ListParagraph"/>
        <w:numPr>
          <w:ilvl w:val="0"/>
          <w:numId w:val="1"/>
        </w:numPr>
        <w:tabs>
          <w:tab w:pos="794" w:val="left" w:leader="none"/>
          <w:tab w:pos="795" w:val="left" w:leader="none"/>
        </w:tabs>
        <w:spacing w:line="369" w:lineRule="auto" w:before="0" w:after="0"/>
        <w:ind w:left="794" w:right="183" w:hanging="677"/>
        <w:jc w:val="left"/>
        <w:rPr>
          <w:b/>
          <w:sz w:val="22"/>
        </w:rPr>
      </w:pPr>
      <w:r>
        <w:rPr>
          <w:b/>
          <w:sz w:val="22"/>
        </w:rPr>
        <w:t>CALLS UPON the OAU General Secretariat and the Regional Centre to strengthen cooperation not only between the two institutions but also between the Regional</w:t>
      </w:r>
      <w:r>
        <w:rPr>
          <w:b/>
          <w:spacing w:val="80"/>
          <w:sz w:val="22"/>
        </w:rPr>
        <w:t> </w:t>
      </w:r>
      <w:r>
        <w:rPr>
          <w:b/>
          <w:sz w:val="22"/>
        </w:rPr>
        <w:t>Centre, Regional and the Sub-regional Organizations working for peace, security and development, particularly the UN Standing Advisory Committee on Security Matters</w:t>
      </w:r>
      <w:r>
        <w:rPr>
          <w:b/>
          <w:spacing w:val="80"/>
          <w:sz w:val="22"/>
        </w:rPr>
        <w:t> </w:t>
      </w:r>
      <w:r>
        <w:rPr>
          <w:b/>
          <w:sz w:val="22"/>
        </w:rPr>
        <w:t>in Central Africa;</w:t>
      </w:r>
    </w:p>
    <w:p>
      <w:pPr>
        <w:pStyle w:val="BodyText"/>
        <w:spacing w:before="5"/>
        <w:rPr>
          <w:sz w:val="33"/>
        </w:rPr>
      </w:pPr>
    </w:p>
    <w:p>
      <w:pPr>
        <w:pStyle w:val="ListParagraph"/>
        <w:numPr>
          <w:ilvl w:val="0"/>
          <w:numId w:val="1"/>
        </w:numPr>
        <w:tabs>
          <w:tab w:pos="795" w:val="left" w:leader="none"/>
        </w:tabs>
        <w:spacing w:line="372" w:lineRule="auto" w:before="0" w:after="0"/>
        <w:ind w:left="794" w:right="321" w:hanging="677"/>
        <w:jc w:val="both"/>
        <w:rPr>
          <w:b/>
          <w:sz w:val="22"/>
        </w:rPr>
      </w:pPr>
      <w:r>
        <w:rPr>
          <w:b/>
          <w:sz w:val="22"/>
        </w:rPr>
        <w:t>FURTHER INVITES the OAU General Secretariat and the Centre to approach the donor countries and International Institutions and Foundations in order to raise the Funds needed to revitalize and ensure the smooth functioning of the Centre;</w:t>
      </w:r>
    </w:p>
    <w:p>
      <w:pPr>
        <w:pStyle w:val="BodyText"/>
        <w:spacing w:before="11"/>
        <w:rPr>
          <w:sz w:val="32"/>
        </w:rPr>
      </w:pPr>
    </w:p>
    <w:p>
      <w:pPr>
        <w:pStyle w:val="ListParagraph"/>
        <w:numPr>
          <w:ilvl w:val="0"/>
          <w:numId w:val="1"/>
        </w:numPr>
        <w:tabs>
          <w:tab w:pos="794" w:val="left" w:leader="none"/>
          <w:tab w:pos="795" w:val="left" w:leader="none"/>
        </w:tabs>
        <w:spacing w:line="369" w:lineRule="auto" w:before="0" w:after="0"/>
        <w:ind w:left="794" w:right="670" w:hanging="677"/>
        <w:jc w:val="left"/>
        <w:rPr>
          <w:b/>
          <w:sz w:val="22"/>
        </w:rPr>
      </w:pPr>
      <w:r>
        <w:rPr>
          <w:b/>
          <w:sz w:val="22"/>
        </w:rPr>
        <w:t>REQUESTS the OAU Secretary-General to submit a report to the Thirty-fourth Ordinary Session on the implementation of the present decision.</w:t>
      </w:r>
    </w:p>
    <w:sectPr>
      <w:pgSz w:w="12240" w:h="15840"/>
      <w:pgMar w:top="1300" w:bottom="280" w:left="15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794" w:hanging="677"/>
        <w:jc w:val="left"/>
      </w:pPr>
      <w:rPr>
        <w:rFonts w:hint="default" w:ascii="Times New Roman" w:hAnsi="Times New Roman" w:eastAsia="Times New Roman" w:cs="Times New Roman"/>
        <w:b/>
        <w:bCs/>
        <w:i w:val="0"/>
        <w:iCs w:val="0"/>
        <w:spacing w:val="0"/>
        <w:w w:val="100"/>
        <w:sz w:val="22"/>
        <w:szCs w:val="22"/>
        <w:lang w:val="en-US" w:eastAsia="en-US" w:bidi="ar-SA"/>
      </w:rPr>
    </w:lvl>
    <w:lvl w:ilvl="1">
      <w:start w:val="0"/>
      <w:numFmt w:val="bullet"/>
      <w:lvlText w:val="•"/>
      <w:lvlJc w:val="left"/>
      <w:pPr>
        <w:ind w:left="1640" w:hanging="677"/>
      </w:pPr>
      <w:rPr>
        <w:rFonts w:hint="default"/>
        <w:lang w:val="en-US" w:eastAsia="en-US" w:bidi="ar-SA"/>
      </w:rPr>
    </w:lvl>
    <w:lvl w:ilvl="2">
      <w:start w:val="0"/>
      <w:numFmt w:val="bullet"/>
      <w:lvlText w:val="•"/>
      <w:lvlJc w:val="left"/>
      <w:pPr>
        <w:ind w:left="2480" w:hanging="677"/>
      </w:pPr>
      <w:rPr>
        <w:rFonts w:hint="default"/>
        <w:lang w:val="en-US" w:eastAsia="en-US" w:bidi="ar-SA"/>
      </w:rPr>
    </w:lvl>
    <w:lvl w:ilvl="3">
      <w:start w:val="0"/>
      <w:numFmt w:val="bullet"/>
      <w:lvlText w:val="•"/>
      <w:lvlJc w:val="left"/>
      <w:pPr>
        <w:ind w:left="3320" w:hanging="677"/>
      </w:pPr>
      <w:rPr>
        <w:rFonts w:hint="default"/>
        <w:lang w:val="en-US" w:eastAsia="en-US" w:bidi="ar-SA"/>
      </w:rPr>
    </w:lvl>
    <w:lvl w:ilvl="4">
      <w:start w:val="0"/>
      <w:numFmt w:val="bullet"/>
      <w:lvlText w:val="•"/>
      <w:lvlJc w:val="left"/>
      <w:pPr>
        <w:ind w:left="4160" w:hanging="677"/>
      </w:pPr>
      <w:rPr>
        <w:rFonts w:hint="default"/>
        <w:lang w:val="en-US" w:eastAsia="en-US" w:bidi="ar-SA"/>
      </w:rPr>
    </w:lvl>
    <w:lvl w:ilvl="5">
      <w:start w:val="0"/>
      <w:numFmt w:val="bullet"/>
      <w:lvlText w:val="•"/>
      <w:lvlJc w:val="left"/>
      <w:pPr>
        <w:ind w:left="5000" w:hanging="677"/>
      </w:pPr>
      <w:rPr>
        <w:rFonts w:hint="default"/>
        <w:lang w:val="en-US" w:eastAsia="en-US" w:bidi="ar-SA"/>
      </w:rPr>
    </w:lvl>
    <w:lvl w:ilvl="6">
      <w:start w:val="0"/>
      <w:numFmt w:val="bullet"/>
      <w:lvlText w:val="•"/>
      <w:lvlJc w:val="left"/>
      <w:pPr>
        <w:ind w:left="5840" w:hanging="677"/>
      </w:pPr>
      <w:rPr>
        <w:rFonts w:hint="default"/>
        <w:lang w:val="en-US" w:eastAsia="en-US" w:bidi="ar-SA"/>
      </w:rPr>
    </w:lvl>
    <w:lvl w:ilvl="7">
      <w:start w:val="0"/>
      <w:numFmt w:val="bullet"/>
      <w:lvlText w:val="•"/>
      <w:lvlJc w:val="left"/>
      <w:pPr>
        <w:ind w:left="6680" w:hanging="677"/>
      </w:pPr>
      <w:rPr>
        <w:rFonts w:hint="default"/>
        <w:lang w:val="en-US" w:eastAsia="en-US" w:bidi="ar-SA"/>
      </w:rPr>
    </w:lvl>
    <w:lvl w:ilvl="8">
      <w:start w:val="0"/>
      <w:numFmt w:val="bullet"/>
      <w:lvlText w:val="•"/>
      <w:lvlJc w:val="left"/>
      <w:pPr>
        <w:ind w:left="7520"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794"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THIRTY-THIRD ASSEMBLY OF HEADS OF STATE AND GOVERNMENT</dc:title>
  <dcterms:created xsi:type="dcterms:W3CDTF">2023-04-01T19:50:11Z</dcterms:created>
  <dcterms:modified xsi:type="dcterms:W3CDTF">2023-04-01T19:50:11Z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