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0" w:right="0" w:firstLine="0"/>
        <w:jc w:val="left"/>
        <w:rPr>
          <w:b/>
          <w:i/>
          <w:sz w:val="24"/>
        </w:rPr>
      </w:pPr>
      <w:r>
        <w:rPr>
          <w:b/>
          <w:i/>
          <w:sz w:val="24"/>
        </w:rPr>
        <w:t>AHG/Dec.150</w:t>
      </w:r>
      <w:r>
        <w:rPr>
          <w:b/>
          <w:i/>
          <w:spacing w:val="-10"/>
          <w:sz w:val="24"/>
        </w:rPr>
        <w:t> </w:t>
      </w:r>
      <w:r>
        <w:rPr>
          <w:b/>
          <w:i/>
          <w:spacing w:val="-2"/>
          <w:sz w:val="24"/>
        </w:rPr>
        <w:t>(XXXVI)</w:t>
      </w:r>
    </w:p>
    <w:p>
      <w:pPr>
        <w:pStyle w:val="BodyText"/>
        <w:spacing w:before="3"/>
        <w:ind w:left="0"/>
        <w:jc w:val="left"/>
        <w:rPr>
          <w:i/>
          <w:sz w:val="22"/>
        </w:rPr>
      </w:pPr>
    </w:p>
    <w:p>
      <w:pPr>
        <w:pStyle w:val="BodyText"/>
        <w:spacing w:line="360" w:lineRule="auto" w:before="1"/>
        <w:ind w:left="2942" w:hanging="2506"/>
        <w:jc w:val="left"/>
      </w:pPr>
      <w:r>
        <w:rPr>
          <w:u w:val="single"/>
        </w:rPr>
        <w:t>DECISION</w:t>
      </w:r>
      <w:r>
        <w:rPr>
          <w:spacing w:val="-7"/>
          <w:u w:val="single"/>
        </w:rPr>
        <w:t> </w:t>
      </w:r>
      <w:r>
        <w:rPr>
          <w:u w:val="single"/>
        </w:rPr>
        <w:t>ON</w:t>
      </w:r>
      <w:r>
        <w:rPr>
          <w:spacing w:val="-7"/>
          <w:u w:val="single"/>
        </w:rPr>
        <w:t> </w:t>
      </w:r>
      <w:r>
        <w:rPr>
          <w:u w:val="single"/>
        </w:rPr>
        <w:t>UNCONSTITUTIONAL</w:t>
      </w:r>
      <w:r>
        <w:rPr>
          <w:spacing w:val="-7"/>
          <w:u w:val="single"/>
        </w:rPr>
        <w:t> </w:t>
      </w:r>
      <w:r>
        <w:rPr>
          <w:u w:val="single"/>
        </w:rPr>
        <w:t>CHANGES</w:t>
      </w:r>
      <w:r>
        <w:rPr>
          <w:spacing w:val="-6"/>
          <w:u w:val="single"/>
        </w:rPr>
        <w:t> </w:t>
      </w:r>
      <w:r>
        <w:rPr>
          <w:u w:val="single"/>
        </w:rPr>
        <w:t>OF</w:t>
      </w:r>
      <w:r>
        <w:rPr>
          <w:spacing w:val="-7"/>
          <w:u w:val="single"/>
        </w:rPr>
        <w:t> </w:t>
      </w:r>
      <w:r>
        <w:rPr>
          <w:u w:val="single"/>
        </w:rPr>
        <w:t>GOVERNMENT</w:t>
      </w:r>
      <w:r>
        <w:rPr>
          <w:spacing w:val="-7"/>
          <w:u w:val="single"/>
        </w:rPr>
        <w:t> </w:t>
      </w:r>
      <w:r>
        <w:rPr>
          <w:u w:val="single"/>
        </w:rPr>
        <w:t>IN </w:t>
      </w:r>
      <w:r>
        <w:rPr/>
        <w:t> </w:t>
      </w:r>
      <w:r>
        <w:rPr>
          <w:u w:val="single"/>
        </w:rPr>
        <w:t>AFRICA - CM/2166 (LXXII)</w:t>
      </w:r>
    </w:p>
    <w:p>
      <w:pPr>
        <w:pStyle w:val="BodyText"/>
        <w:spacing w:before="0"/>
        <w:ind w:left="0"/>
        <w:jc w:val="left"/>
        <w:rPr>
          <w:sz w:val="20"/>
        </w:rPr>
      </w:pPr>
    </w:p>
    <w:p>
      <w:pPr>
        <w:pStyle w:val="BodyText"/>
        <w:spacing w:before="3"/>
        <w:ind w:left="0"/>
        <w:jc w:val="left"/>
        <w:rPr>
          <w:sz w:val="18"/>
        </w:rPr>
      </w:pPr>
    </w:p>
    <w:p>
      <w:pPr>
        <w:pStyle w:val="BodyText"/>
        <w:spacing w:before="90"/>
      </w:pPr>
      <w:r>
        <w:rPr/>
        <w:t>The</w:t>
      </w:r>
      <w:r>
        <w:rPr>
          <w:spacing w:val="-3"/>
        </w:rPr>
        <w:t> </w:t>
      </w:r>
      <w:r>
        <w:rPr>
          <w:spacing w:val="-2"/>
        </w:rPr>
        <w:t>Assembly:</w:t>
      </w:r>
    </w:p>
    <w:p>
      <w:pPr>
        <w:pStyle w:val="BodyText"/>
        <w:spacing w:line="360" w:lineRule="auto" w:before="204"/>
        <w:ind w:right="104"/>
      </w:pPr>
      <w:r>
        <w:rPr/>
        <w:t>A.1. COMMENDS the Central Organ and its Sub-Committee on Unconstitutional Changes of Government in Africa for their work, and the Secretary General for the efforts deployed to implement the Algiers Decisions;</w:t>
      </w:r>
    </w:p>
    <w:p>
      <w:pPr>
        <w:pStyle w:val="ListParagraph"/>
        <w:numPr>
          <w:ilvl w:val="0"/>
          <w:numId w:val="1"/>
        </w:numPr>
        <w:tabs>
          <w:tab w:pos="378" w:val="left" w:leader="none"/>
        </w:tabs>
        <w:spacing w:line="360" w:lineRule="auto" w:before="59" w:after="0"/>
        <w:ind w:left="120" w:right="108" w:firstLine="0"/>
        <w:jc w:val="both"/>
        <w:rPr>
          <w:b/>
          <w:sz w:val="24"/>
        </w:rPr>
      </w:pPr>
      <w:r>
        <w:rPr>
          <w:b/>
          <w:sz w:val="24"/>
        </w:rPr>
        <w:t>DECIDES to restrict the definition of unconstitutional changes of government to paragraphs ((b) i to iv)) of the "Framework for an OAU Response to Unconstitutional Changes of Government" (Doc. Rev.1 of the Central Organ);</w:t>
      </w:r>
    </w:p>
    <w:p>
      <w:pPr>
        <w:pStyle w:val="ListParagraph"/>
        <w:numPr>
          <w:ilvl w:val="0"/>
          <w:numId w:val="1"/>
        </w:numPr>
        <w:tabs>
          <w:tab w:pos="417" w:val="left" w:leader="none"/>
        </w:tabs>
        <w:spacing w:line="360" w:lineRule="auto" w:before="64" w:after="0"/>
        <w:ind w:left="120" w:right="104" w:firstLine="0"/>
        <w:jc w:val="both"/>
        <w:rPr>
          <w:b/>
          <w:sz w:val="24"/>
        </w:rPr>
      </w:pPr>
      <w:r>
        <w:rPr>
          <w:b/>
          <w:sz w:val="24"/>
        </w:rPr>
        <w:t>WELCOMES the restoration of democratic governance in Niger and Guinea Bissau by their transitional authorities, in compliance with the decision of the Algiers Summit on Unconstitutional Changes of Government and STRONGLY APPEALS</w:t>
      </w:r>
      <w:r>
        <w:rPr>
          <w:b/>
          <w:spacing w:val="-2"/>
          <w:sz w:val="24"/>
        </w:rPr>
        <w:t> </w:t>
      </w:r>
      <w:r>
        <w:rPr>
          <w:b/>
          <w:sz w:val="24"/>
        </w:rPr>
        <w:t>to</w:t>
      </w:r>
      <w:r>
        <w:rPr>
          <w:b/>
          <w:spacing w:val="-2"/>
          <w:sz w:val="24"/>
        </w:rPr>
        <w:t> </w:t>
      </w:r>
      <w:r>
        <w:rPr>
          <w:b/>
          <w:sz w:val="24"/>
        </w:rPr>
        <w:t>the</w:t>
      </w:r>
      <w:r>
        <w:rPr>
          <w:b/>
          <w:spacing w:val="-2"/>
          <w:sz w:val="24"/>
        </w:rPr>
        <w:t> </w:t>
      </w:r>
      <w:r>
        <w:rPr>
          <w:b/>
          <w:sz w:val="24"/>
        </w:rPr>
        <w:t>International</w:t>
      </w:r>
      <w:r>
        <w:rPr>
          <w:b/>
          <w:spacing w:val="-2"/>
          <w:sz w:val="24"/>
        </w:rPr>
        <w:t> </w:t>
      </w:r>
      <w:r>
        <w:rPr>
          <w:b/>
          <w:sz w:val="24"/>
        </w:rPr>
        <w:t>Community, particularly</w:t>
      </w:r>
      <w:r>
        <w:rPr>
          <w:b/>
          <w:spacing w:val="-2"/>
          <w:sz w:val="24"/>
        </w:rPr>
        <w:t> </w:t>
      </w:r>
      <w:r>
        <w:rPr>
          <w:b/>
          <w:sz w:val="24"/>
        </w:rPr>
        <w:t>the</w:t>
      </w:r>
      <w:r>
        <w:rPr>
          <w:b/>
          <w:spacing w:val="-2"/>
          <w:sz w:val="24"/>
        </w:rPr>
        <w:t> </w:t>
      </w:r>
      <w:r>
        <w:rPr>
          <w:b/>
          <w:sz w:val="24"/>
        </w:rPr>
        <w:t>International</w:t>
      </w:r>
      <w:r>
        <w:rPr>
          <w:b/>
          <w:spacing w:val="-2"/>
          <w:sz w:val="24"/>
        </w:rPr>
        <w:t> </w:t>
      </w:r>
      <w:r>
        <w:rPr>
          <w:b/>
          <w:sz w:val="24"/>
        </w:rPr>
        <w:t>Financial Institutions, to lend concrete support for the Post-Conflict reconstruction of both countries so that their peoples can begin to enjoy the dividends of peace and the fruits of democracy;</w:t>
      </w:r>
    </w:p>
    <w:p>
      <w:pPr>
        <w:pStyle w:val="ListParagraph"/>
        <w:numPr>
          <w:ilvl w:val="0"/>
          <w:numId w:val="1"/>
        </w:numPr>
        <w:tabs>
          <w:tab w:pos="409" w:val="left" w:leader="none"/>
        </w:tabs>
        <w:spacing w:line="355" w:lineRule="auto" w:before="59" w:after="0"/>
        <w:ind w:left="120" w:right="106" w:firstLine="0"/>
        <w:jc w:val="both"/>
        <w:rPr>
          <w:b/>
          <w:sz w:val="24"/>
        </w:rPr>
      </w:pPr>
      <w:r>
        <w:rPr>
          <w:b/>
          <w:sz w:val="24"/>
        </w:rPr>
        <w:t>ADOPTS the proposed Framework for an OAU Response to Unconstitutional Changes of Government;</w:t>
      </w:r>
    </w:p>
    <w:p>
      <w:pPr>
        <w:pStyle w:val="ListParagraph"/>
        <w:numPr>
          <w:ilvl w:val="0"/>
          <w:numId w:val="2"/>
        </w:numPr>
        <w:tabs>
          <w:tab w:pos="404" w:val="left" w:leader="none"/>
        </w:tabs>
        <w:spacing w:line="357" w:lineRule="auto" w:before="71" w:after="0"/>
        <w:ind w:left="120" w:right="109" w:firstLine="0"/>
        <w:jc w:val="both"/>
        <w:rPr>
          <w:b/>
          <w:sz w:val="24"/>
        </w:rPr>
      </w:pPr>
      <w:r>
        <w:rPr>
          <w:b/>
          <w:sz w:val="24"/>
        </w:rPr>
        <w:t>RECALLS Decision AHG/Dec.141 (XXXV) adopted during the 35th Ordinary Session of the Assembly rejecting any unconstitutional changes of Government in </w:t>
      </w:r>
      <w:r>
        <w:rPr>
          <w:b/>
          <w:spacing w:val="-2"/>
          <w:sz w:val="24"/>
        </w:rPr>
        <w:t>Africa;</w:t>
      </w:r>
    </w:p>
    <w:p>
      <w:pPr>
        <w:pStyle w:val="ListParagraph"/>
        <w:numPr>
          <w:ilvl w:val="0"/>
          <w:numId w:val="2"/>
        </w:numPr>
        <w:tabs>
          <w:tab w:pos="447" w:val="left" w:leader="none"/>
        </w:tabs>
        <w:spacing w:line="360" w:lineRule="auto" w:before="67" w:after="0"/>
        <w:ind w:left="120" w:right="108" w:hanging="1"/>
        <w:jc w:val="both"/>
        <w:rPr>
          <w:b/>
          <w:sz w:val="24"/>
        </w:rPr>
      </w:pPr>
      <w:r>
        <w:rPr>
          <w:b/>
          <w:sz w:val="24"/>
        </w:rPr>
        <w:t>REITERATES its condemnation of all types of unconstitutional change of Government as anachronistic and in contradiction of its commitment to the promotion of democratic principles and constitutional rule;</w:t>
      </w:r>
    </w:p>
    <w:p>
      <w:pPr>
        <w:pStyle w:val="ListParagraph"/>
        <w:numPr>
          <w:ilvl w:val="0"/>
          <w:numId w:val="2"/>
        </w:numPr>
        <w:tabs>
          <w:tab w:pos="384" w:val="left" w:leader="none"/>
        </w:tabs>
        <w:spacing w:line="360" w:lineRule="auto" w:before="59" w:after="0"/>
        <w:ind w:left="120" w:right="114" w:firstLine="0"/>
        <w:jc w:val="both"/>
        <w:rPr>
          <w:b/>
          <w:sz w:val="24"/>
        </w:rPr>
      </w:pPr>
      <w:r>
        <w:rPr>
          <w:b/>
          <w:sz w:val="24"/>
        </w:rPr>
        <w:t>CALLS UPON the United Nations during the Millennium Summit to join in the rejection of all types of unconstitutional changes anywhere in the world, and to take appropriate measures against their perpetrators.</w:t>
      </w:r>
    </w:p>
    <w:sectPr>
      <w:type w:val="continuous"/>
      <w:pgSz w:w="12240" w:h="15840"/>
      <w:pgMar w:top="142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0" w:hanging="284"/>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994" w:hanging="284"/>
      </w:pPr>
      <w:rPr>
        <w:rFonts w:hint="default"/>
        <w:lang w:val="en-US" w:eastAsia="en-US" w:bidi="ar-SA"/>
      </w:rPr>
    </w:lvl>
    <w:lvl w:ilvl="2">
      <w:start w:val="0"/>
      <w:numFmt w:val="bullet"/>
      <w:lvlText w:val="•"/>
      <w:lvlJc w:val="left"/>
      <w:pPr>
        <w:ind w:left="1868" w:hanging="284"/>
      </w:pPr>
      <w:rPr>
        <w:rFonts w:hint="default"/>
        <w:lang w:val="en-US" w:eastAsia="en-US" w:bidi="ar-SA"/>
      </w:rPr>
    </w:lvl>
    <w:lvl w:ilvl="3">
      <w:start w:val="0"/>
      <w:numFmt w:val="bullet"/>
      <w:lvlText w:val="•"/>
      <w:lvlJc w:val="left"/>
      <w:pPr>
        <w:ind w:left="2742" w:hanging="284"/>
      </w:pPr>
      <w:rPr>
        <w:rFonts w:hint="default"/>
        <w:lang w:val="en-US" w:eastAsia="en-US" w:bidi="ar-SA"/>
      </w:rPr>
    </w:lvl>
    <w:lvl w:ilvl="4">
      <w:start w:val="0"/>
      <w:numFmt w:val="bullet"/>
      <w:lvlText w:val="•"/>
      <w:lvlJc w:val="left"/>
      <w:pPr>
        <w:ind w:left="3616" w:hanging="284"/>
      </w:pPr>
      <w:rPr>
        <w:rFonts w:hint="default"/>
        <w:lang w:val="en-US" w:eastAsia="en-US" w:bidi="ar-SA"/>
      </w:rPr>
    </w:lvl>
    <w:lvl w:ilvl="5">
      <w:start w:val="0"/>
      <w:numFmt w:val="bullet"/>
      <w:lvlText w:val="•"/>
      <w:lvlJc w:val="left"/>
      <w:pPr>
        <w:ind w:left="4490" w:hanging="284"/>
      </w:pPr>
      <w:rPr>
        <w:rFonts w:hint="default"/>
        <w:lang w:val="en-US" w:eastAsia="en-US" w:bidi="ar-SA"/>
      </w:rPr>
    </w:lvl>
    <w:lvl w:ilvl="6">
      <w:start w:val="0"/>
      <w:numFmt w:val="bullet"/>
      <w:lvlText w:val="•"/>
      <w:lvlJc w:val="left"/>
      <w:pPr>
        <w:ind w:left="5364" w:hanging="284"/>
      </w:pPr>
      <w:rPr>
        <w:rFonts w:hint="default"/>
        <w:lang w:val="en-US" w:eastAsia="en-US" w:bidi="ar-SA"/>
      </w:rPr>
    </w:lvl>
    <w:lvl w:ilvl="7">
      <w:start w:val="0"/>
      <w:numFmt w:val="bullet"/>
      <w:lvlText w:val="•"/>
      <w:lvlJc w:val="left"/>
      <w:pPr>
        <w:ind w:left="6238" w:hanging="284"/>
      </w:pPr>
      <w:rPr>
        <w:rFonts w:hint="default"/>
        <w:lang w:val="en-US" w:eastAsia="en-US" w:bidi="ar-SA"/>
      </w:rPr>
    </w:lvl>
    <w:lvl w:ilvl="8">
      <w:start w:val="0"/>
      <w:numFmt w:val="bullet"/>
      <w:lvlText w:val="•"/>
      <w:lvlJc w:val="left"/>
      <w:pPr>
        <w:ind w:left="7112" w:hanging="284"/>
      </w:pPr>
      <w:rPr>
        <w:rFonts w:hint="default"/>
        <w:lang w:val="en-US" w:eastAsia="en-US" w:bidi="ar-SA"/>
      </w:rPr>
    </w:lvl>
  </w:abstractNum>
  <w:abstractNum w:abstractNumId="0">
    <w:multiLevelType w:val="hybridMultilevel"/>
    <w:lvl w:ilvl="0">
      <w:start w:val="2"/>
      <w:numFmt w:val="decimal"/>
      <w:lvlText w:val="%1."/>
      <w:lvlJc w:val="left"/>
      <w:pPr>
        <w:ind w:left="120" w:hanging="258"/>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994" w:hanging="258"/>
      </w:pPr>
      <w:rPr>
        <w:rFonts w:hint="default"/>
        <w:lang w:val="en-US" w:eastAsia="en-US" w:bidi="ar-SA"/>
      </w:rPr>
    </w:lvl>
    <w:lvl w:ilvl="2">
      <w:start w:val="0"/>
      <w:numFmt w:val="bullet"/>
      <w:lvlText w:val="•"/>
      <w:lvlJc w:val="left"/>
      <w:pPr>
        <w:ind w:left="1868" w:hanging="258"/>
      </w:pPr>
      <w:rPr>
        <w:rFonts w:hint="default"/>
        <w:lang w:val="en-US" w:eastAsia="en-US" w:bidi="ar-SA"/>
      </w:rPr>
    </w:lvl>
    <w:lvl w:ilvl="3">
      <w:start w:val="0"/>
      <w:numFmt w:val="bullet"/>
      <w:lvlText w:val="•"/>
      <w:lvlJc w:val="left"/>
      <w:pPr>
        <w:ind w:left="2742" w:hanging="258"/>
      </w:pPr>
      <w:rPr>
        <w:rFonts w:hint="default"/>
        <w:lang w:val="en-US" w:eastAsia="en-US" w:bidi="ar-SA"/>
      </w:rPr>
    </w:lvl>
    <w:lvl w:ilvl="4">
      <w:start w:val="0"/>
      <w:numFmt w:val="bullet"/>
      <w:lvlText w:val="•"/>
      <w:lvlJc w:val="left"/>
      <w:pPr>
        <w:ind w:left="3616" w:hanging="258"/>
      </w:pPr>
      <w:rPr>
        <w:rFonts w:hint="default"/>
        <w:lang w:val="en-US" w:eastAsia="en-US" w:bidi="ar-SA"/>
      </w:rPr>
    </w:lvl>
    <w:lvl w:ilvl="5">
      <w:start w:val="0"/>
      <w:numFmt w:val="bullet"/>
      <w:lvlText w:val="•"/>
      <w:lvlJc w:val="left"/>
      <w:pPr>
        <w:ind w:left="4490" w:hanging="258"/>
      </w:pPr>
      <w:rPr>
        <w:rFonts w:hint="default"/>
        <w:lang w:val="en-US" w:eastAsia="en-US" w:bidi="ar-SA"/>
      </w:rPr>
    </w:lvl>
    <w:lvl w:ilvl="6">
      <w:start w:val="0"/>
      <w:numFmt w:val="bullet"/>
      <w:lvlText w:val="•"/>
      <w:lvlJc w:val="left"/>
      <w:pPr>
        <w:ind w:left="5364" w:hanging="258"/>
      </w:pPr>
      <w:rPr>
        <w:rFonts w:hint="default"/>
        <w:lang w:val="en-US" w:eastAsia="en-US" w:bidi="ar-SA"/>
      </w:rPr>
    </w:lvl>
    <w:lvl w:ilvl="7">
      <w:start w:val="0"/>
      <w:numFmt w:val="bullet"/>
      <w:lvlText w:val="•"/>
      <w:lvlJc w:val="left"/>
      <w:pPr>
        <w:ind w:left="6238" w:hanging="258"/>
      </w:pPr>
      <w:rPr>
        <w:rFonts w:hint="default"/>
        <w:lang w:val="en-US" w:eastAsia="en-US" w:bidi="ar-SA"/>
      </w:rPr>
    </w:lvl>
    <w:lvl w:ilvl="8">
      <w:start w:val="0"/>
      <w:numFmt w:val="bullet"/>
      <w:lvlText w:val="•"/>
      <w:lvlJc w:val="left"/>
      <w:pPr>
        <w:ind w:left="7112" w:hanging="258"/>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59"/>
      <w:ind w:left="120"/>
      <w:jc w:val="both"/>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59"/>
      <w:ind w:left="120" w:right="108"/>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THIRTY-SIXTH ORDINARY SESSION OF THE ASSEMBLY OF HEADS OF STATE AND GOVERNMENT</dc:title>
  <dcterms:created xsi:type="dcterms:W3CDTF">2023-04-01T19:51:56Z</dcterms:created>
  <dcterms:modified xsi:type="dcterms:W3CDTF">2023-04-01T19:51:56Z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