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4" w:lineRule="auto" w:before="77"/>
        <w:ind w:left="6742" w:right="141" w:hanging="58"/>
        <w:jc w:val="right"/>
      </w:pPr>
      <w:r>
        <w:rPr/>
        <w:t>CM/Res. 395 </w:t>
      </w:r>
      <w:r>
        <w:rPr/>
        <w:t>(XXIV) CM/Res.385</w:t>
      </w:r>
      <w:r>
        <w:rPr>
          <w:spacing w:val="22"/>
        </w:rPr>
        <w:t> </w:t>
      </w:r>
      <w:r>
        <w:rPr>
          <w:spacing w:val="-2"/>
        </w:rPr>
        <w:t>(XXIV)</w:t>
      </w:r>
    </w:p>
    <w:p>
      <w:pPr>
        <w:pStyle w:val="BodyText"/>
        <w:rPr>
          <w:sz w:val="24"/>
        </w:rPr>
      </w:pPr>
    </w:p>
    <w:p>
      <w:pPr>
        <w:pStyle w:val="BodyText"/>
        <w:spacing w:before="8"/>
        <w:rPr>
          <w:sz w:val="21"/>
        </w:rPr>
      </w:pPr>
    </w:p>
    <w:p>
      <w:pPr>
        <w:pStyle w:val="BodyText"/>
        <w:spacing w:line="369" w:lineRule="auto"/>
        <w:ind w:left="3967" w:right="396" w:hanging="2487"/>
      </w:pPr>
      <w:r>
        <w:rPr/>
        <w:t>RESOLUTION ON THE RULES GOVERNING THE GRANTING OF </w:t>
      </w:r>
      <w:r>
        <w:rPr>
          <w:spacing w:val="-2"/>
        </w:rPr>
        <w:t>SUBVENTIONS</w:t>
      </w:r>
    </w:p>
    <w:p>
      <w:pPr>
        <w:pStyle w:val="BodyText"/>
        <w:spacing w:before="7"/>
        <w:rPr>
          <w:sz w:val="33"/>
        </w:rPr>
      </w:pPr>
    </w:p>
    <w:p>
      <w:pPr>
        <w:pStyle w:val="BodyText"/>
        <w:spacing w:line="369" w:lineRule="auto" w:before="1"/>
        <w:ind w:left="171" w:right="396"/>
      </w:pPr>
      <w:r>
        <w:rPr/>
        <w:t>The Council of Ministers of the Organization of African Unity, meeting in its 24</w:t>
      </w:r>
      <w:r>
        <w:rPr>
          <w:vertAlign w:val="superscript"/>
        </w:rPr>
        <w:t>th</w:t>
      </w:r>
      <w:r>
        <w:rPr>
          <w:vertAlign w:val="baseline"/>
        </w:rPr>
        <w:t> Ordinary Session in Addis Ababa, from 13 to 21 February 1975,</w:t>
      </w:r>
    </w:p>
    <w:p>
      <w:pPr>
        <w:pStyle w:val="BodyText"/>
        <w:spacing w:before="7"/>
        <w:rPr>
          <w:sz w:val="33"/>
        </w:rPr>
      </w:pPr>
    </w:p>
    <w:p>
      <w:pPr>
        <w:pStyle w:val="BodyText"/>
        <w:spacing w:line="369" w:lineRule="auto"/>
        <w:ind w:left="171" w:right="396"/>
      </w:pPr>
      <w:r>
        <w:rPr>
          <w:u w:val="single"/>
        </w:rPr>
        <w:t>Concerned</w:t>
      </w:r>
      <w:r>
        <w:rPr/>
        <w:t> over the ever-increasing number of applications for subventions submitted to the OAU by several African organizations or associations, and particularly over their effect on the increasing budget of the Organization;</w:t>
      </w:r>
    </w:p>
    <w:p>
      <w:pPr>
        <w:pStyle w:val="BodyText"/>
        <w:spacing w:before="7"/>
        <w:rPr>
          <w:sz w:val="33"/>
        </w:rPr>
      </w:pPr>
    </w:p>
    <w:p>
      <w:pPr>
        <w:pStyle w:val="BodyText"/>
        <w:ind w:left="171"/>
      </w:pPr>
      <w:r>
        <w:rPr>
          <w:u w:val="single"/>
        </w:rPr>
        <w:t>Considering</w:t>
      </w:r>
      <w:r>
        <w:rPr>
          <w:spacing w:val="4"/>
        </w:rPr>
        <w:t> </w:t>
      </w:r>
      <w:r>
        <w:rPr/>
        <w:t>the</w:t>
      </w:r>
      <w:r>
        <w:rPr>
          <w:spacing w:val="2"/>
        </w:rPr>
        <w:t> </w:t>
      </w:r>
      <w:r>
        <w:rPr/>
        <w:t>need</w:t>
      </w:r>
      <w:r>
        <w:rPr>
          <w:spacing w:val="3"/>
        </w:rPr>
        <w:t> </w:t>
      </w:r>
      <w:r>
        <w:rPr/>
        <w:t>for</w:t>
      </w:r>
      <w:r>
        <w:rPr>
          <w:spacing w:val="2"/>
        </w:rPr>
        <w:t> </w:t>
      </w:r>
      <w:r>
        <w:rPr/>
        <w:t>stricter</w:t>
      </w:r>
      <w:r>
        <w:rPr>
          <w:spacing w:val="2"/>
        </w:rPr>
        <w:t> </w:t>
      </w:r>
      <w:r>
        <w:rPr/>
        <w:t>rules</w:t>
      </w:r>
      <w:r>
        <w:rPr>
          <w:spacing w:val="1"/>
        </w:rPr>
        <w:t> </w:t>
      </w:r>
      <w:r>
        <w:rPr/>
        <w:t>for</w:t>
      </w:r>
      <w:r>
        <w:rPr>
          <w:spacing w:val="2"/>
        </w:rPr>
        <w:t> </w:t>
      </w:r>
      <w:r>
        <w:rPr/>
        <w:t>the</w:t>
      </w:r>
      <w:r>
        <w:rPr>
          <w:spacing w:val="2"/>
        </w:rPr>
        <w:t> </w:t>
      </w:r>
      <w:r>
        <w:rPr/>
        <w:t>granting</w:t>
      </w:r>
      <w:r>
        <w:rPr>
          <w:spacing w:val="2"/>
        </w:rPr>
        <w:t> </w:t>
      </w:r>
      <w:r>
        <w:rPr/>
        <w:t>of</w:t>
      </w:r>
      <w:r>
        <w:rPr>
          <w:spacing w:val="2"/>
        </w:rPr>
        <w:t> </w:t>
      </w:r>
      <w:r>
        <w:rPr/>
        <w:t>subvention</w:t>
      </w:r>
      <w:r>
        <w:rPr>
          <w:spacing w:val="2"/>
        </w:rPr>
        <w:t> </w:t>
      </w:r>
      <w:r>
        <w:rPr/>
        <w:t>by</w:t>
      </w:r>
      <w:r>
        <w:rPr>
          <w:spacing w:val="1"/>
        </w:rPr>
        <w:t> </w:t>
      </w:r>
      <w:r>
        <w:rPr/>
        <w:t>the</w:t>
      </w:r>
      <w:r>
        <w:rPr>
          <w:spacing w:val="2"/>
        </w:rPr>
        <w:t> </w:t>
      </w:r>
      <w:r>
        <w:rPr>
          <w:spacing w:val="-4"/>
        </w:rPr>
        <w:t>OAU;</w:t>
      </w:r>
    </w:p>
    <w:p>
      <w:pPr>
        <w:pStyle w:val="BodyText"/>
        <w:rPr>
          <w:sz w:val="24"/>
        </w:rPr>
      </w:pPr>
    </w:p>
    <w:p>
      <w:pPr>
        <w:pStyle w:val="BodyText"/>
        <w:spacing w:before="1"/>
      </w:pPr>
    </w:p>
    <w:p>
      <w:pPr>
        <w:pStyle w:val="BodyText"/>
        <w:spacing w:line="367" w:lineRule="auto"/>
        <w:ind w:left="171" w:right="396"/>
      </w:pPr>
      <w:r>
        <w:rPr>
          <w:u w:val="single"/>
        </w:rPr>
        <w:t>Recalling</w:t>
      </w:r>
      <w:r>
        <w:rPr/>
        <w:t> in this respect its previous resolutions and decisions, especially those of the Nineteenth Session of the Council endorsed by the Ninth Ordinary Session of the Assembly of Heads of State and Government in Rabat;</w:t>
      </w:r>
    </w:p>
    <w:p>
      <w:pPr>
        <w:pStyle w:val="BodyText"/>
        <w:spacing w:before="3"/>
        <w:rPr>
          <w:sz w:val="34"/>
        </w:rPr>
      </w:pPr>
    </w:p>
    <w:p>
      <w:pPr>
        <w:pStyle w:val="ListParagraph"/>
        <w:numPr>
          <w:ilvl w:val="0"/>
          <w:numId w:val="1"/>
        </w:numPr>
        <w:tabs>
          <w:tab w:pos="847" w:val="left" w:leader="none"/>
          <w:tab w:pos="848" w:val="left" w:leader="none"/>
        </w:tabs>
        <w:spacing w:line="369" w:lineRule="auto" w:before="0" w:after="0"/>
        <w:ind w:left="848" w:right="525" w:hanging="677"/>
        <w:jc w:val="left"/>
        <w:rPr>
          <w:sz w:val="22"/>
        </w:rPr>
      </w:pPr>
      <w:r>
        <w:rPr>
          <w:sz w:val="22"/>
        </w:rPr>
        <w:t>DECIDES that the granting of OAU subvention shall be governed by the following </w:t>
      </w:r>
      <w:r>
        <w:rPr>
          <w:spacing w:val="-2"/>
          <w:sz w:val="22"/>
        </w:rPr>
        <w:t>conditions:</w:t>
      </w:r>
    </w:p>
    <w:p>
      <w:pPr>
        <w:pStyle w:val="BodyText"/>
        <w:spacing w:before="7"/>
        <w:rPr>
          <w:sz w:val="33"/>
        </w:rPr>
      </w:pPr>
    </w:p>
    <w:p>
      <w:pPr>
        <w:pStyle w:val="ListParagraph"/>
        <w:numPr>
          <w:ilvl w:val="1"/>
          <w:numId w:val="1"/>
        </w:numPr>
        <w:tabs>
          <w:tab w:pos="1524" w:val="left" w:leader="none"/>
          <w:tab w:pos="1525" w:val="left" w:leader="none"/>
        </w:tabs>
        <w:spacing w:line="369" w:lineRule="auto" w:before="1" w:after="0"/>
        <w:ind w:left="1524" w:right="584" w:hanging="677"/>
        <w:jc w:val="left"/>
        <w:rPr>
          <w:sz w:val="22"/>
        </w:rPr>
      </w:pPr>
      <w:r>
        <w:rPr>
          <w:sz w:val="22"/>
        </w:rPr>
        <w:t>That the recipient shall be an African Organization or Association whose activities, programmes</w:t>
      </w:r>
      <w:r>
        <w:rPr>
          <w:spacing w:val="-1"/>
          <w:sz w:val="22"/>
        </w:rPr>
        <w:t> </w:t>
      </w:r>
      <w:r>
        <w:rPr>
          <w:sz w:val="22"/>
        </w:rPr>
        <w:t>and objectives</w:t>
      </w:r>
      <w:r>
        <w:rPr>
          <w:spacing w:val="-1"/>
          <w:sz w:val="22"/>
        </w:rPr>
        <w:t> </w:t>
      </w:r>
      <w:r>
        <w:rPr>
          <w:sz w:val="22"/>
        </w:rPr>
        <w:t>fall</w:t>
      </w:r>
      <w:r>
        <w:rPr>
          <w:spacing w:val="-1"/>
          <w:sz w:val="22"/>
        </w:rPr>
        <w:t> </w:t>
      </w:r>
      <w:r>
        <w:rPr>
          <w:sz w:val="22"/>
        </w:rPr>
        <w:t>within</w:t>
      </w:r>
      <w:r>
        <w:rPr>
          <w:spacing w:val="-1"/>
          <w:sz w:val="22"/>
        </w:rPr>
        <w:t> </w:t>
      </w:r>
      <w:r>
        <w:rPr>
          <w:sz w:val="22"/>
        </w:rPr>
        <w:t>the</w:t>
      </w:r>
      <w:r>
        <w:rPr>
          <w:spacing w:val="-1"/>
          <w:sz w:val="22"/>
        </w:rPr>
        <w:t> </w:t>
      </w:r>
      <w:r>
        <w:rPr>
          <w:sz w:val="22"/>
        </w:rPr>
        <w:t>purview</w:t>
      </w:r>
      <w:r>
        <w:rPr>
          <w:spacing w:val="-1"/>
          <w:sz w:val="22"/>
        </w:rPr>
        <w:t> </w:t>
      </w:r>
      <w:r>
        <w:rPr>
          <w:sz w:val="22"/>
        </w:rPr>
        <w:t>of</w:t>
      </w:r>
      <w:r>
        <w:rPr>
          <w:spacing w:val="-1"/>
          <w:sz w:val="22"/>
        </w:rPr>
        <w:t> </w:t>
      </w:r>
      <w:r>
        <w:rPr>
          <w:sz w:val="22"/>
        </w:rPr>
        <w:t>the</w:t>
      </w:r>
      <w:r>
        <w:rPr>
          <w:spacing w:val="-1"/>
          <w:sz w:val="22"/>
        </w:rPr>
        <w:t> </w:t>
      </w:r>
      <w:r>
        <w:rPr>
          <w:sz w:val="22"/>
        </w:rPr>
        <w:t>aims</w:t>
      </w:r>
      <w:r>
        <w:rPr>
          <w:spacing w:val="-1"/>
          <w:sz w:val="22"/>
        </w:rPr>
        <w:t> </w:t>
      </w:r>
      <w:r>
        <w:rPr>
          <w:sz w:val="22"/>
        </w:rPr>
        <w:t>of the OAU as defined in the charter of 25 May 1963;</w:t>
      </w:r>
    </w:p>
    <w:p>
      <w:pPr>
        <w:pStyle w:val="BodyText"/>
        <w:rPr>
          <w:sz w:val="34"/>
        </w:rPr>
      </w:pPr>
    </w:p>
    <w:p>
      <w:pPr>
        <w:pStyle w:val="ListParagraph"/>
        <w:numPr>
          <w:ilvl w:val="1"/>
          <w:numId w:val="1"/>
        </w:numPr>
        <w:tabs>
          <w:tab w:pos="1524" w:val="left" w:leader="none"/>
          <w:tab w:pos="1525" w:val="left" w:leader="none"/>
        </w:tabs>
        <w:spacing w:line="240" w:lineRule="auto" w:before="0" w:after="0"/>
        <w:ind w:left="1524" w:right="0" w:hanging="677"/>
        <w:jc w:val="left"/>
        <w:rPr>
          <w:sz w:val="22"/>
        </w:rPr>
      </w:pPr>
      <w:r>
        <w:rPr>
          <w:sz w:val="22"/>
        </w:rPr>
        <w:t>that</w:t>
      </w:r>
      <w:r>
        <w:rPr>
          <w:spacing w:val="3"/>
          <w:sz w:val="22"/>
        </w:rPr>
        <w:t> </w:t>
      </w:r>
      <w:r>
        <w:rPr>
          <w:sz w:val="22"/>
        </w:rPr>
        <w:t>it</w:t>
      </w:r>
      <w:r>
        <w:rPr>
          <w:spacing w:val="4"/>
          <w:sz w:val="22"/>
        </w:rPr>
        <w:t> </w:t>
      </w:r>
      <w:r>
        <w:rPr>
          <w:sz w:val="22"/>
        </w:rPr>
        <w:t>should</w:t>
      </w:r>
      <w:r>
        <w:rPr>
          <w:spacing w:val="5"/>
          <w:sz w:val="22"/>
        </w:rPr>
        <w:t> </w:t>
      </w:r>
      <w:r>
        <w:rPr>
          <w:sz w:val="22"/>
        </w:rPr>
        <w:t>already</w:t>
      </w:r>
      <w:r>
        <w:rPr>
          <w:spacing w:val="4"/>
          <w:sz w:val="22"/>
        </w:rPr>
        <w:t> </w:t>
      </w:r>
      <w:r>
        <w:rPr>
          <w:sz w:val="22"/>
        </w:rPr>
        <w:t>have</w:t>
      </w:r>
      <w:r>
        <w:rPr>
          <w:spacing w:val="4"/>
          <w:sz w:val="22"/>
        </w:rPr>
        <w:t> </w:t>
      </w:r>
      <w:r>
        <w:rPr>
          <w:sz w:val="22"/>
        </w:rPr>
        <w:t>observer</w:t>
      </w:r>
      <w:r>
        <w:rPr>
          <w:spacing w:val="5"/>
          <w:sz w:val="22"/>
        </w:rPr>
        <w:t> </w:t>
      </w:r>
      <w:r>
        <w:rPr>
          <w:sz w:val="22"/>
        </w:rPr>
        <w:t>status</w:t>
      </w:r>
      <w:r>
        <w:rPr>
          <w:spacing w:val="3"/>
          <w:sz w:val="22"/>
        </w:rPr>
        <w:t> </w:t>
      </w:r>
      <w:r>
        <w:rPr>
          <w:sz w:val="22"/>
        </w:rPr>
        <w:t>at</w:t>
      </w:r>
      <w:r>
        <w:rPr>
          <w:spacing w:val="4"/>
          <w:sz w:val="22"/>
        </w:rPr>
        <w:t> </w:t>
      </w:r>
      <w:r>
        <w:rPr>
          <w:sz w:val="22"/>
        </w:rPr>
        <w:t>the</w:t>
      </w:r>
      <w:r>
        <w:rPr>
          <w:spacing w:val="4"/>
          <w:sz w:val="22"/>
        </w:rPr>
        <w:t> </w:t>
      </w:r>
      <w:r>
        <w:rPr>
          <w:spacing w:val="-4"/>
          <w:sz w:val="22"/>
        </w:rPr>
        <w:t>OAU;</w:t>
      </w:r>
    </w:p>
    <w:p>
      <w:pPr>
        <w:pStyle w:val="BodyText"/>
        <w:rPr>
          <w:sz w:val="24"/>
        </w:rPr>
      </w:pPr>
    </w:p>
    <w:p>
      <w:pPr>
        <w:pStyle w:val="BodyText"/>
        <w:spacing w:before="2"/>
        <w:rPr>
          <w:sz w:val="21"/>
        </w:rPr>
      </w:pPr>
    </w:p>
    <w:p>
      <w:pPr>
        <w:pStyle w:val="ListParagraph"/>
        <w:numPr>
          <w:ilvl w:val="1"/>
          <w:numId w:val="1"/>
        </w:numPr>
        <w:tabs>
          <w:tab w:pos="1524" w:val="left" w:leader="none"/>
          <w:tab w:pos="1525" w:val="left" w:leader="none"/>
        </w:tabs>
        <w:spacing w:line="369" w:lineRule="auto" w:before="0" w:after="0"/>
        <w:ind w:left="1524" w:right="358" w:hanging="677"/>
        <w:jc w:val="left"/>
        <w:rPr>
          <w:sz w:val="22"/>
        </w:rPr>
      </w:pPr>
      <w:r>
        <w:rPr>
          <w:sz w:val="22"/>
        </w:rPr>
        <w:t>that these Organizations or Associations which have previously received such subventions should first account for them before applying for new ones.</w:t>
      </w:r>
    </w:p>
    <w:p>
      <w:pPr>
        <w:pStyle w:val="BodyText"/>
        <w:spacing w:before="1"/>
        <w:rPr>
          <w:sz w:val="34"/>
        </w:rPr>
      </w:pPr>
    </w:p>
    <w:p>
      <w:pPr>
        <w:pStyle w:val="ListParagraph"/>
        <w:numPr>
          <w:ilvl w:val="0"/>
          <w:numId w:val="1"/>
        </w:numPr>
        <w:tabs>
          <w:tab w:pos="847" w:val="left" w:leader="none"/>
          <w:tab w:pos="848" w:val="left" w:leader="none"/>
        </w:tabs>
        <w:spacing w:line="369" w:lineRule="auto" w:before="0" w:after="0"/>
        <w:ind w:left="848" w:right="317" w:hanging="677"/>
        <w:jc w:val="left"/>
        <w:rPr>
          <w:sz w:val="22"/>
        </w:rPr>
      </w:pPr>
      <w:r>
        <w:rPr>
          <w:sz w:val="22"/>
        </w:rPr>
        <w:t>REAFFIRMS that the granting or enjoyment of observer status does not,</w:t>
      </w:r>
      <w:r>
        <w:rPr>
          <w:spacing w:val="24"/>
          <w:sz w:val="22"/>
        </w:rPr>
        <w:t> </w:t>
      </w:r>
      <w:r>
        <w:rPr>
          <w:sz w:val="22"/>
          <w:u w:val="single"/>
        </w:rPr>
        <w:t>per se</w:t>
      </w:r>
      <w:r>
        <w:rPr>
          <w:sz w:val="22"/>
        </w:rPr>
        <w:t>, give right to OAU subvention.</w:t>
      </w:r>
    </w:p>
    <w:p>
      <w:pPr>
        <w:pStyle w:val="BodyText"/>
        <w:spacing w:before="8"/>
        <w:rPr>
          <w:sz w:val="33"/>
        </w:rPr>
      </w:pPr>
    </w:p>
    <w:p>
      <w:pPr>
        <w:pStyle w:val="ListParagraph"/>
        <w:numPr>
          <w:ilvl w:val="0"/>
          <w:numId w:val="1"/>
        </w:numPr>
        <w:tabs>
          <w:tab w:pos="847" w:val="left" w:leader="none"/>
          <w:tab w:pos="848" w:val="left" w:leader="none"/>
        </w:tabs>
        <w:spacing w:line="369" w:lineRule="auto" w:before="0" w:after="0"/>
        <w:ind w:left="848" w:right="477" w:hanging="677"/>
        <w:jc w:val="left"/>
        <w:rPr>
          <w:sz w:val="22"/>
        </w:rPr>
      </w:pPr>
      <w:r>
        <w:rPr>
          <w:sz w:val="22"/>
        </w:rPr>
        <w:t>REAFFIRMS that OAU subventions merely assistance, a temporary contribution to an African Organization or Association satisfying the criteria set out in operative</w:t>
      </w:r>
    </w:p>
    <w:p>
      <w:pPr>
        <w:spacing w:after="0" w:line="369" w:lineRule="auto"/>
        <w:jc w:val="left"/>
        <w:rPr>
          <w:sz w:val="22"/>
        </w:rPr>
        <w:sectPr>
          <w:type w:val="continuous"/>
          <w:pgSz w:w="12240" w:h="15840"/>
          <w:pgMar w:top="620" w:bottom="280" w:left="1720" w:right="1720"/>
        </w:sectPr>
      </w:pPr>
    </w:p>
    <w:p>
      <w:pPr>
        <w:pStyle w:val="BodyText"/>
        <w:spacing w:before="77"/>
        <w:ind w:right="137"/>
        <w:jc w:val="right"/>
      </w:pPr>
      <w:r>
        <w:rPr/>
        <w:t>CM/Res.</w:t>
      </w:r>
      <w:r>
        <w:rPr>
          <w:spacing w:val="10"/>
        </w:rPr>
        <w:t> </w:t>
      </w:r>
      <w:r>
        <w:rPr/>
        <w:t>385</w:t>
      </w:r>
      <w:r>
        <w:rPr>
          <w:spacing w:val="10"/>
        </w:rPr>
        <w:t> </w:t>
      </w:r>
      <w:r>
        <w:rPr>
          <w:spacing w:val="-2"/>
        </w:rPr>
        <w:t>(XXIV)</w:t>
      </w:r>
    </w:p>
    <w:p>
      <w:pPr>
        <w:pStyle w:val="BodyText"/>
        <w:spacing w:line="374" w:lineRule="auto" w:before="6"/>
        <w:ind w:left="847" w:right="396"/>
      </w:pPr>
      <w:r>
        <w:rPr/>
        <w:t>paragraph 1 of the present resolution </w:t>
      </w:r>
      <w:r>
        <w:rPr>
          <w:u w:val="single"/>
        </w:rPr>
        <w:t>in view of</w:t>
      </w:r>
      <w:r>
        <w:rPr/>
        <w:t> OAU’s limited resources and its financial difficulties, so as to enable it to fulfill its mission in the service of Africa.</w:t>
      </w:r>
    </w:p>
    <w:p>
      <w:pPr>
        <w:pStyle w:val="BodyText"/>
        <w:spacing w:before="10"/>
        <w:rPr>
          <w:sz w:val="24"/>
        </w:rPr>
      </w:pPr>
    </w:p>
    <w:p>
      <w:pPr>
        <w:pStyle w:val="ListParagraph"/>
        <w:numPr>
          <w:ilvl w:val="0"/>
          <w:numId w:val="1"/>
        </w:numPr>
        <w:tabs>
          <w:tab w:pos="847" w:val="left" w:leader="none"/>
          <w:tab w:pos="848" w:val="left" w:leader="none"/>
        </w:tabs>
        <w:spacing w:line="369" w:lineRule="auto" w:before="96" w:after="0"/>
        <w:ind w:left="848" w:right="490" w:hanging="677"/>
        <w:jc w:val="left"/>
        <w:rPr>
          <w:sz w:val="22"/>
        </w:rPr>
      </w:pPr>
      <w:r>
        <w:rPr>
          <w:sz w:val="22"/>
        </w:rPr>
        <w:t>DECIDES</w:t>
      </w:r>
      <w:r>
        <w:rPr>
          <w:spacing w:val="40"/>
          <w:sz w:val="22"/>
        </w:rPr>
        <w:t> </w:t>
      </w:r>
      <w:r>
        <w:rPr>
          <w:sz w:val="22"/>
        </w:rPr>
        <w:t>that the dossiers should first be examined by the Secretary General who will thereafter refer them to the Advisory Committee on Budgetary and Financial Matters and the Council of Ministers.</w:t>
      </w:r>
    </w:p>
    <w:p>
      <w:pPr>
        <w:pStyle w:val="BodyText"/>
        <w:spacing w:before="7"/>
        <w:rPr>
          <w:sz w:val="33"/>
        </w:rPr>
      </w:pPr>
    </w:p>
    <w:p>
      <w:pPr>
        <w:pStyle w:val="ListParagraph"/>
        <w:numPr>
          <w:ilvl w:val="0"/>
          <w:numId w:val="1"/>
        </w:numPr>
        <w:tabs>
          <w:tab w:pos="847" w:val="left" w:leader="none"/>
          <w:tab w:pos="848" w:val="left" w:leader="none"/>
        </w:tabs>
        <w:spacing w:line="369" w:lineRule="auto" w:before="0" w:after="0"/>
        <w:ind w:left="848" w:right="886" w:hanging="677"/>
        <w:jc w:val="left"/>
        <w:rPr>
          <w:sz w:val="22"/>
        </w:rPr>
      </w:pPr>
      <w:r>
        <w:rPr>
          <w:sz w:val="22"/>
        </w:rPr>
        <w:t>REQUESTS the Administrative Secretary General to abide scrupulously by the provisions of operative paragraph 4 of the present resolution.</w:t>
      </w:r>
    </w:p>
    <w:sectPr>
      <w:pgSz w:w="12240" w:h="15840"/>
      <w:pgMar w:top="62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8" w:hanging="677"/>
        <w:jc w:val="left"/>
      </w:pPr>
      <w:rPr>
        <w:rFonts w:hint="default" w:ascii="Times New Roman" w:hAnsi="Times New Roman" w:eastAsia="Times New Roman" w:cs="Times New Roman"/>
        <w:b w:val="0"/>
        <w:bCs w:val="0"/>
        <w:i w:val="0"/>
        <w:iCs w:val="0"/>
        <w:spacing w:val="0"/>
        <w:w w:val="102"/>
        <w:sz w:val="22"/>
        <w:szCs w:val="22"/>
        <w:lang w:val="en-US" w:eastAsia="en-US" w:bidi="ar-SA"/>
      </w:rPr>
    </w:lvl>
    <w:lvl w:ilvl="1">
      <w:start w:val="1"/>
      <w:numFmt w:val="lowerLetter"/>
      <w:lvlText w:val="%2)"/>
      <w:lvlJc w:val="left"/>
      <w:pPr>
        <w:ind w:left="1524" w:hanging="677"/>
        <w:jc w:val="left"/>
      </w:pPr>
      <w:rPr>
        <w:rFonts w:hint="default" w:ascii="Times New Roman" w:hAnsi="Times New Roman" w:eastAsia="Times New Roman" w:cs="Times New Roman"/>
        <w:b w:val="0"/>
        <w:bCs w:val="0"/>
        <w:i w:val="0"/>
        <w:iCs w:val="0"/>
        <w:w w:val="102"/>
        <w:sz w:val="22"/>
        <w:szCs w:val="22"/>
        <w:lang w:val="en-US" w:eastAsia="en-US" w:bidi="ar-SA"/>
      </w:rPr>
    </w:lvl>
    <w:lvl w:ilvl="2">
      <w:start w:val="0"/>
      <w:numFmt w:val="bullet"/>
      <w:lvlText w:val="•"/>
      <w:lvlJc w:val="left"/>
      <w:pPr>
        <w:ind w:left="2328" w:hanging="677"/>
      </w:pPr>
      <w:rPr>
        <w:rFonts w:hint="default"/>
        <w:lang w:val="en-US" w:eastAsia="en-US" w:bidi="ar-SA"/>
      </w:rPr>
    </w:lvl>
    <w:lvl w:ilvl="3">
      <w:start w:val="0"/>
      <w:numFmt w:val="bullet"/>
      <w:lvlText w:val="•"/>
      <w:lvlJc w:val="left"/>
      <w:pPr>
        <w:ind w:left="3137" w:hanging="677"/>
      </w:pPr>
      <w:rPr>
        <w:rFonts w:hint="default"/>
        <w:lang w:val="en-US" w:eastAsia="en-US" w:bidi="ar-SA"/>
      </w:rPr>
    </w:lvl>
    <w:lvl w:ilvl="4">
      <w:start w:val="0"/>
      <w:numFmt w:val="bullet"/>
      <w:lvlText w:val="•"/>
      <w:lvlJc w:val="left"/>
      <w:pPr>
        <w:ind w:left="3946" w:hanging="677"/>
      </w:pPr>
      <w:rPr>
        <w:rFonts w:hint="default"/>
        <w:lang w:val="en-US" w:eastAsia="en-US" w:bidi="ar-SA"/>
      </w:rPr>
    </w:lvl>
    <w:lvl w:ilvl="5">
      <w:start w:val="0"/>
      <w:numFmt w:val="bullet"/>
      <w:lvlText w:val="•"/>
      <w:lvlJc w:val="left"/>
      <w:pPr>
        <w:ind w:left="4755" w:hanging="677"/>
      </w:pPr>
      <w:rPr>
        <w:rFonts w:hint="default"/>
        <w:lang w:val="en-US" w:eastAsia="en-US" w:bidi="ar-SA"/>
      </w:rPr>
    </w:lvl>
    <w:lvl w:ilvl="6">
      <w:start w:val="0"/>
      <w:numFmt w:val="bullet"/>
      <w:lvlText w:val="•"/>
      <w:lvlJc w:val="left"/>
      <w:pPr>
        <w:ind w:left="5564" w:hanging="677"/>
      </w:pPr>
      <w:rPr>
        <w:rFonts w:hint="default"/>
        <w:lang w:val="en-US" w:eastAsia="en-US" w:bidi="ar-SA"/>
      </w:rPr>
    </w:lvl>
    <w:lvl w:ilvl="7">
      <w:start w:val="0"/>
      <w:numFmt w:val="bullet"/>
      <w:lvlText w:val="•"/>
      <w:lvlJc w:val="left"/>
      <w:pPr>
        <w:ind w:left="6373" w:hanging="677"/>
      </w:pPr>
      <w:rPr>
        <w:rFonts w:hint="default"/>
        <w:lang w:val="en-US" w:eastAsia="en-US" w:bidi="ar-SA"/>
      </w:rPr>
    </w:lvl>
    <w:lvl w:ilvl="8">
      <w:start w:val="0"/>
      <w:numFmt w:val="bullet"/>
      <w:lvlText w:val="•"/>
      <w:lvlJc w:val="left"/>
      <w:pPr>
        <w:ind w:left="7182" w:hanging="67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ListParagraph" w:type="paragraph">
    <w:name w:val="List Paragraph"/>
    <w:basedOn w:val="Normal"/>
    <w:uiPriority w:val="1"/>
    <w:qFormat/>
    <w:pPr>
      <w:ind w:left="848" w:hanging="677"/>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ON THE TWENTY SECOND ORDINARY SESSION OF THE COUNCIL OF MINISTERS</dc:title>
  <dcterms:created xsi:type="dcterms:W3CDTF">2023-06-07T08:44:56Z</dcterms:created>
  <dcterms:modified xsi:type="dcterms:W3CDTF">2023-06-07T08:44:56Z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2023-05-02T00:00:00Z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