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7"/>
        <w:ind w:left="6742" w:right="401" w:hanging="58"/>
        <w:jc w:val="right"/>
      </w:pPr>
      <w:r>
        <w:rPr/>
        <w:t>CM/Res. 395 </w:t>
      </w:r>
      <w:r>
        <w:rPr/>
        <w:t>(XXIV) CM/Res.386</w:t>
      </w:r>
      <w:r>
        <w:rPr>
          <w:spacing w:val="22"/>
        </w:rPr>
        <w:t> </w:t>
      </w:r>
      <w:r>
        <w:rPr>
          <w:spacing w:val="-2"/>
        </w:rPr>
        <w:t>(XXIV)</w:t>
      </w:r>
    </w:p>
    <w:p>
      <w:pPr>
        <w:pStyle w:val="BodyText"/>
        <w:rPr>
          <w:sz w:val="24"/>
        </w:rPr>
      </w:pPr>
    </w:p>
    <w:p>
      <w:pPr>
        <w:pStyle w:val="BodyText"/>
        <w:spacing w:before="1"/>
      </w:pPr>
    </w:p>
    <w:p>
      <w:pPr>
        <w:pStyle w:val="Title"/>
      </w:pPr>
      <w:r>
        <w:rPr/>
        <w:t>RESOLUTION ON THE ESTABLISHMENT OF AN AD HOC COMMITTEE</w:t>
      </w:r>
      <w:r>
        <w:rPr>
          <w:spacing w:val="40"/>
        </w:rPr>
        <w:t> </w:t>
      </w:r>
      <w:r>
        <w:rPr/>
        <w:t>FOR </w:t>
      </w:r>
      <w:r>
        <w:rPr/>
        <w:t>THE STRUCTURAL REFORM OF THE ORGANIZATION OF AFRICAN UNITY</w:t>
      </w:r>
    </w:p>
    <w:p>
      <w:pPr>
        <w:pStyle w:val="BodyText"/>
        <w:spacing w:before="5"/>
        <w:rPr>
          <w:b/>
          <w:sz w:val="34"/>
        </w:rPr>
      </w:pPr>
    </w:p>
    <w:p>
      <w:pPr>
        <w:pStyle w:val="BodyText"/>
        <w:spacing w:line="364" w:lineRule="auto" w:before="1"/>
        <w:ind w:left="171" w:right="191"/>
      </w:pPr>
      <w:r>
        <w:rPr/>
        <w:t>The Council of Ministers of the Organization of African Unity, meeting in its 24</w:t>
      </w:r>
      <w:r>
        <w:rPr>
          <w:vertAlign w:val="superscript"/>
        </w:rPr>
        <w:t>th</w:t>
      </w:r>
      <w:r>
        <w:rPr>
          <w:vertAlign w:val="baseline"/>
        </w:rPr>
        <w:t> Ordinary Session in Addis Ababa, from 13 to 21 February 1975,</w:t>
      </w:r>
    </w:p>
    <w:p>
      <w:pPr>
        <w:pStyle w:val="BodyText"/>
        <w:spacing w:before="6"/>
        <w:rPr>
          <w:sz w:val="34"/>
        </w:rPr>
      </w:pPr>
    </w:p>
    <w:p>
      <w:pPr>
        <w:pStyle w:val="BodyText"/>
        <w:spacing w:line="369" w:lineRule="auto"/>
        <w:ind w:left="171" w:right="191"/>
      </w:pPr>
      <w:r>
        <w:rPr>
          <w:u w:val="single"/>
        </w:rPr>
        <w:t>Taking</w:t>
      </w:r>
      <w:r>
        <w:rPr/>
        <w:t> cognizance of the recommendations of the Advisory Committee on Budgetary and Financial Matters, document CM/614 Rev.1 (XXIV);</w:t>
      </w:r>
    </w:p>
    <w:p>
      <w:pPr>
        <w:pStyle w:val="BodyText"/>
        <w:spacing w:before="1"/>
        <w:rPr>
          <w:sz w:val="34"/>
        </w:rPr>
      </w:pPr>
    </w:p>
    <w:p>
      <w:pPr>
        <w:pStyle w:val="BodyText"/>
        <w:spacing w:line="364" w:lineRule="auto"/>
        <w:ind w:left="171" w:right="661"/>
      </w:pPr>
      <w:r>
        <w:rPr>
          <w:u w:val="single"/>
        </w:rPr>
        <w:t>Having heard</w:t>
      </w:r>
      <w:r>
        <w:rPr/>
        <w:t> the statements made by the representatives of TANZANIA, ZAMBIA, SIERRA LEONE and GHANA;</w:t>
      </w:r>
    </w:p>
    <w:p>
      <w:pPr>
        <w:pStyle w:val="BodyText"/>
        <w:spacing w:before="1"/>
        <w:rPr>
          <w:sz w:val="34"/>
        </w:rPr>
      </w:pPr>
    </w:p>
    <w:p>
      <w:pPr>
        <w:pStyle w:val="BodyText"/>
        <w:spacing w:line="374" w:lineRule="auto" w:before="1"/>
        <w:ind w:left="171" w:right="661"/>
      </w:pPr>
      <w:r>
        <w:rPr>
          <w:u w:val="single"/>
        </w:rPr>
        <w:t>Recalling</w:t>
      </w:r>
      <w:r>
        <w:rPr/>
        <w:t> the various statements made by African Leaders particularly during the</w:t>
      </w:r>
      <w:r>
        <w:rPr>
          <w:spacing w:val="24"/>
        </w:rPr>
        <w:t> </w:t>
      </w:r>
      <w:r>
        <w:rPr/>
        <w:t>11</w:t>
      </w:r>
      <w:r>
        <w:rPr>
          <w:vertAlign w:val="superscript"/>
        </w:rPr>
        <w:t>th</w:t>
      </w:r>
      <w:r>
        <w:rPr>
          <w:vertAlign w:val="baseline"/>
        </w:rPr>
        <w:t> Summit meeting in Mogadishu;</w:t>
      </w:r>
    </w:p>
    <w:p>
      <w:pPr>
        <w:pStyle w:val="BodyText"/>
        <w:spacing w:before="2"/>
        <w:rPr>
          <w:sz w:val="33"/>
        </w:rPr>
      </w:pPr>
    </w:p>
    <w:p>
      <w:pPr>
        <w:pStyle w:val="ListParagraph"/>
        <w:numPr>
          <w:ilvl w:val="0"/>
          <w:numId w:val="1"/>
        </w:numPr>
        <w:tabs>
          <w:tab w:pos="847" w:val="left" w:leader="none"/>
          <w:tab w:pos="848" w:val="left" w:leader="none"/>
        </w:tabs>
        <w:spacing w:line="369" w:lineRule="auto" w:before="0" w:after="0"/>
        <w:ind w:left="847" w:right="615" w:hanging="677"/>
        <w:jc w:val="left"/>
        <w:rPr>
          <w:sz w:val="22"/>
        </w:rPr>
      </w:pPr>
      <w:r>
        <w:rPr>
          <w:sz w:val="22"/>
        </w:rPr>
        <w:t>DECIDES</w:t>
      </w:r>
      <w:r>
        <w:rPr>
          <w:spacing w:val="40"/>
          <w:sz w:val="22"/>
        </w:rPr>
        <w:t> </w:t>
      </w:r>
      <w:r>
        <w:rPr>
          <w:sz w:val="22"/>
        </w:rPr>
        <w:t>to establish an </w:t>
      </w:r>
      <w:r>
        <w:rPr>
          <w:sz w:val="22"/>
          <w:u w:val="single"/>
        </w:rPr>
        <w:t>ad hoc</w:t>
      </w:r>
      <w:r>
        <w:rPr>
          <w:sz w:val="22"/>
        </w:rPr>
        <w:t> committee composed of Cameroon, Ghana, Egypt, Senegal, Tanzania, Zaire, Algeria, Nigeria and Guinea to undertake studies on structural reform of the Organization of African Unity, particularly as regards administrative and financial matters.</w:t>
      </w:r>
    </w:p>
    <w:p>
      <w:pPr>
        <w:pStyle w:val="BodyText"/>
        <w:spacing w:before="6"/>
        <w:rPr>
          <w:sz w:val="33"/>
        </w:rPr>
      </w:pPr>
    </w:p>
    <w:p>
      <w:pPr>
        <w:pStyle w:val="ListParagraph"/>
        <w:numPr>
          <w:ilvl w:val="0"/>
          <w:numId w:val="1"/>
        </w:numPr>
        <w:tabs>
          <w:tab w:pos="847" w:val="left" w:leader="none"/>
          <w:tab w:pos="849" w:val="left" w:leader="none"/>
        </w:tabs>
        <w:spacing w:line="369" w:lineRule="auto" w:before="0" w:after="0"/>
        <w:ind w:left="847" w:right="735" w:hanging="677"/>
        <w:jc w:val="left"/>
        <w:rPr>
          <w:sz w:val="22"/>
        </w:rPr>
      </w:pPr>
      <w:r>
        <w:rPr>
          <w:sz w:val="22"/>
        </w:rPr>
        <w:t>This committee will later submit its recommendations to the council and the Assembly for consideration, in accordance with article XXIII of the Charter and the relevant provisions of OAU regulations.</w:t>
      </w:r>
    </w:p>
    <w:sectPr>
      <w:type w:val="continuous"/>
      <w:pgSz w:w="12240" w:h="15840"/>
      <w:pgMar w:top="62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662" w:hanging="677"/>
      </w:pPr>
      <w:rPr>
        <w:rFonts w:hint="default"/>
        <w:lang w:val="en-US" w:eastAsia="en-US" w:bidi="ar-SA"/>
      </w:rPr>
    </w:lvl>
    <w:lvl w:ilvl="2">
      <w:start w:val="0"/>
      <w:numFmt w:val="bullet"/>
      <w:lvlText w:val="•"/>
      <w:lvlJc w:val="left"/>
      <w:pPr>
        <w:ind w:left="2484" w:hanging="677"/>
      </w:pPr>
      <w:rPr>
        <w:rFonts w:hint="default"/>
        <w:lang w:val="en-US" w:eastAsia="en-US" w:bidi="ar-SA"/>
      </w:rPr>
    </w:lvl>
    <w:lvl w:ilvl="3">
      <w:start w:val="0"/>
      <w:numFmt w:val="bullet"/>
      <w:lvlText w:val="•"/>
      <w:lvlJc w:val="left"/>
      <w:pPr>
        <w:ind w:left="3306" w:hanging="677"/>
      </w:pPr>
      <w:rPr>
        <w:rFonts w:hint="default"/>
        <w:lang w:val="en-US" w:eastAsia="en-US" w:bidi="ar-SA"/>
      </w:rPr>
    </w:lvl>
    <w:lvl w:ilvl="4">
      <w:start w:val="0"/>
      <w:numFmt w:val="bullet"/>
      <w:lvlText w:val="•"/>
      <w:lvlJc w:val="left"/>
      <w:pPr>
        <w:ind w:left="4128" w:hanging="677"/>
      </w:pPr>
      <w:rPr>
        <w:rFonts w:hint="default"/>
        <w:lang w:val="en-US" w:eastAsia="en-US" w:bidi="ar-SA"/>
      </w:rPr>
    </w:lvl>
    <w:lvl w:ilvl="5">
      <w:start w:val="0"/>
      <w:numFmt w:val="bullet"/>
      <w:lvlText w:val="•"/>
      <w:lvlJc w:val="left"/>
      <w:pPr>
        <w:ind w:left="4950" w:hanging="677"/>
      </w:pPr>
      <w:rPr>
        <w:rFonts w:hint="default"/>
        <w:lang w:val="en-US" w:eastAsia="en-US" w:bidi="ar-SA"/>
      </w:rPr>
    </w:lvl>
    <w:lvl w:ilvl="6">
      <w:start w:val="0"/>
      <w:numFmt w:val="bullet"/>
      <w:lvlText w:val="•"/>
      <w:lvlJc w:val="left"/>
      <w:pPr>
        <w:ind w:left="5772" w:hanging="677"/>
      </w:pPr>
      <w:rPr>
        <w:rFonts w:hint="default"/>
        <w:lang w:val="en-US" w:eastAsia="en-US" w:bidi="ar-SA"/>
      </w:rPr>
    </w:lvl>
    <w:lvl w:ilvl="7">
      <w:start w:val="0"/>
      <w:numFmt w:val="bullet"/>
      <w:lvlText w:val="•"/>
      <w:lvlJc w:val="left"/>
      <w:pPr>
        <w:ind w:left="6594" w:hanging="677"/>
      </w:pPr>
      <w:rPr>
        <w:rFonts w:hint="default"/>
        <w:lang w:val="en-US" w:eastAsia="en-US" w:bidi="ar-SA"/>
      </w:rPr>
    </w:lvl>
    <w:lvl w:ilvl="8">
      <w:start w:val="0"/>
      <w:numFmt w:val="bullet"/>
      <w:lvlText w:val="•"/>
      <w:lvlJc w:val="left"/>
      <w:pPr>
        <w:ind w:left="741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766" w:right="191" w:hanging="59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47" w:right="615"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2023-06-07T08:45:00Z</dcterms:created>
  <dcterms:modified xsi:type="dcterms:W3CDTF">2023-06-07T08:45:00Z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