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7"/>
        <w:ind w:left="6742" w:right="141" w:hanging="58"/>
        <w:jc w:val="right"/>
      </w:pPr>
      <w:r>
        <w:rPr/>
        <w:t>CM/Res. 395 </w:t>
      </w:r>
      <w:r>
        <w:rPr/>
        <w:t>(XXIV) CM/Res.388</w:t>
      </w:r>
      <w:r>
        <w:rPr>
          <w:spacing w:val="22"/>
        </w:rPr>
        <w:t> </w:t>
      </w:r>
      <w:r>
        <w:rPr>
          <w:spacing w:val="-2"/>
        </w:rPr>
        <w:t>(XXIV)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</w:pPr>
    </w:p>
    <w:p>
      <w:pPr>
        <w:pStyle w:val="Title"/>
      </w:pPr>
      <w:r>
        <w:rPr/>
        <w:t>RESOLUTION ON THE ELECTION OF MEMBERS OF THE ADVISORY COMMITTEE AND THE BOARD OF EXTERNAL AUDITORS</w:t>
      </w:r>
    </w:p>
    <w:p>
      <w:pPr>
        <w:pStyle w:val="BodyText"/>
        <w:spacing w:before="5"/>
        <w:ind w:left="0"/>
        <w:rPr>
          <w:b/>
          <w:sz w:val="34"/>
        </w:rPr>
      </w:pPr>
    </w:p>
    <w:p>
      <w:pPr>
        <w:pStyle w:val="BodyText"/>
        <w:spacing w:line="364" w:lineRule="auto" w:before="1"/>
        <w:ind w:left="171"/>
      </w:pPr>
      <w:r>
        <w:rPr/>
        <w:t>The Council of Ministers of the Organization of African Unity, meeting in its 24</w:t>
      </w:r>
      <w:r>
        <w:rPr>
          <w:vertAlign w:val="superscript"/>
        </w:rPr>
        <w:t>th</w:t>
      </w:r>
      <w:r>
        <w:rPr>
          <w:vertAlign w:val="baseline"/>
        </w:rPr>
        <w:t> Ordinary Session in Addis Ababa, from 13 to 21 February 1975,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spacing w:line="369" w:lineRule="auto"/>
        <w:ind w:left="171" w:hanging="1"/>
      </w:pPr>
      <w:r>
        <w:rPr>
          <w:u w:val="single"/>
        </w:rPr>
        <w:t>Having considered</w:t>
      </w:r>
      <w:r>
        <w:rPr/>
        <w:t> Report CM/619 (XXIV) on the election of Members of the Advisory committee on Budgetary and Financial Matters and of the Board of External Auditors: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71"/>
      </w:pPr>
      <w:r>
        <w:rPr>
          <w:u w:val="single"/>
        </w:rPr>
        <w:t>DECIDES</w:t>
      </w:r>
      <w:r>
        <w:rPr>
          <w:spacing w:val="24"/>
        </w:rPr>
        <w:t> </w:t>
      </w:r>
      <w:r>
        <w:rPr>
          <w:spacing w:val="-10"/>
        </w:rPr>
        <w:t>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9" w:val="left" w:leader="none"/>
        </w:tabs>
        <w:spacing w:line="369" w:lineRule="auto" w:before="0" w:after="0"/>
        <w:ind w:left="848" w:right="484" w:hanging="677"/>
        <w:jc w:val="left"/>
        <w:rPr>
          <w:sz w:val="22"/>
        </w:rPr>
      </w:pPr>
      <w:r>
        <w:rPr>
          <w:sz w:val="22"/>
        </w:rPr>
        <w:t>That the following countries have been elected members of the Advisory committee on budgetary and Financial matters;</w:t>
      </w:r>
    </w:p>
    <w:p>
      <w:pPr>
        <w:pStyle w:val="BodyText"/>
        <w:tabs>
          <w:tab w:pos="4231" w:val="left" w:leader="none"/>
        </w:tabs>
        <w:spacing w:before="4"/>
      </w:pPr>
      <w:r>
        <w:rPr>
          <w:spacing w:val="-2"/>
        </w:rPr>
        <w:t>Algeria</w:t>
      </w:r>
      <w:r>
        <w:rPr/>
        <w:tab/>
      </w:r>
      <w:r>
        <w:rPr>
          <w:spacing w:val="-2"/>
        </w:rPr>
        <w:t>Tunisia</w:t>
      </w:r>
    </w:p>
    <w:p>
      <w:pPr>
        <w:pStyle w:val="BodyText"/>
        <w:tabs>
          <w:tab w:pos="4231" w:val="left" w:leader="none"/>
        </w:tabs>
        <w:spacing w:before="135"/>
      </w:pPr>
      <w:r>
        <w:rPr>
          <w:spacing w:val="-2"/>
        </w:rPr>
        <w:t>Egypt</w:t>
      </w:r>
      <w:r>
        <w:rPr/>
        <w:tab/>
      </w:r>
      <w:r>
        <w:rPr>
          <w:spacing w:val="-4"/>
        </w:rPr>
        <w:t>Zaire</w:t>
      </w:r>
    </w:p>
    <w:p>
      <w:pPr>
        <w:pStyle w:val="BodyText"/>
        <w:tabs>
          <w:tab w:pos="4231" w:val="left" w:leader="none"/>
        </w:tabs>
        <w:spacing w:before="136"/>
      </w:pPr>
      <w:r>
        <w:rPr>
          <w:spacing w:val="-2"/>
        </w:rPr>
        <w:t>Ethiopia</w:t>
      </w:r>
      <w:r>
        <w:rPr/>
        <w:tab/>
      </w:r>
      <w:r>
        <w:rPr>
          <w:spacing w:val="-2"/>
        </w:rPr>
        <w:t>Zambia</w:t>
      </w:r>
    </w:p>
    <w:p>
      <w:pPr>
        <w:pStyle w:val="BodyText"/>
        <w:tabs>
          <w:tab w:pos="4231" w:val="left" w:leader="none"/>
        </w:tabs>
        <w:spacing w:before="131"/>
      </w:pPr>
      <w:r>
        <w:rPr>
          <w:spacing w:val="-2"/>
        </w:rPr>
        <w:t>Gabon</w:t>
      </w:r>
      <w:r>
        <w:rPr/>
        <w:tab/>
      </w:r>
      <w:r>
        <w:rPr>
          <w:spacing w:val="-2"/>
        </w:rPr>
        <w:t>Morocco</w:t>
      </w:r>
    </w:p>
    <w:p>
      <w:pPr>
        <w:pStyle w:val="BodyText"/>
        <w:tabs>
          <w:tab w:pos="4231" w:val="left" w:leader="none"/>
        </w:tabs>
        <w:spacing w:before="141"/>
      </w:pPr>
      <w:r>
        <w:rPr>
          <w:spacing w:val="-2"/>
        </w:rPr>
        <w:t>Ghana</w:t>
      </w:r>
      <w:r>
        <w:rPr/>
        <w:tab/>
      </w:r>
      <w:r>
        <w:rPr>
          <w:spacing w:val="-2"/>
        </w:rPr>
        <w:t>Liberia</w:t>
      </w:r>
    </w:p>
    <w:p>
      <w:pPr>
        <w:pStyle w:val="BodyText"/>
        <w:tabs>
          <w:tab w:pos="4231" w:val="left" w:leader="none"/>
        </w:tabs>
        <w:spacing w:before="136"/>
      </w:pPr>
      <w:r>
        <w:rPr>
          <w:spacing w:val="-2"/>
        </w:rPr>
        <w:t>Guinea</w:t>
      </w:r>
      <w:r>
        <w:rPr/>
        <w:tab/>
      </w:r>
      <w:r>
        <w:rPr>
          <w:spacing w:val="-4"/>
        </w:rPr>
        <w:t>Sudan</w:t>
      </w:r>
    </w:p>
    <w:p>
      <w:pPr>
        <w:pStyle w:val="BodyText"/>
        <w:tabs>
          <w:tab w:pos="4231" w:val="left" w:leader="none"/>
        </w:tabs>
        <w:spacing w:before="136"/>
      </w:pPr>
      <w:r>
        <w:rPr>
          <w:spacing w:val="-2"/>
        </w:rPr>
        <w:t>Kenya</w:t>
      </w:r>
      <w:r>
        <w:rPr/>
        <w:tab/>
      </w:r>
      <w:r>
        <w:rPr>
          <w:spacing w:val="-2"/>
        </w:rPr>
        <w:t>Uganda</w:t>
      </w:r>
    </w:p>
    <w:p>
      <w:pPr>
        <w:pStyle w:val="BodyText"/>
        <w:tabs>
          <w:tab w:pos="4231" w:val="left" w:leader="none"/>
        </w:tabs>
        <w:spacing w:before="135"/>
      </w:pPr>
      <w:r>
        <w:rPr>
          <w:spacing w:val="-2"/>
        </w:rPr>
        <w:t>Libya</w:t>
      </w:r>
      <w:r>
        <w:rPr/>
        <w:tab/>
      </w:r>
      <w:r>
        <w:rPr>
          <w:spacing w:val="-2"/>
        </w:rPr>
        <w:t>Somalia</w:t>
      </w:r>
    </w:p>
    <w:p>
      <w:pPr>
        <w:pStyle w:val="BodyText"/>
        <w:tabs>
          <w:tab w:pos="4231" w:val="left" w:leader="none"/>
        </w:tabs>
        <w:spacing w:before="136"/>
      </w:pPr>
      <w:r>
        <w:rPr>
          <w:spacing w:val="-2"/>
        </w:rPr>
        <w:t>Nigeria</w:t>
      </w:r>
      <w:r>
        <w:rPr/>
        <w:tab/>
      </w:r>
      <w:r>
        <w:rPr>
          <w:spacing w:val="-2"/>
        </w:rPr>
        <w:t>Senegal</w:t>
      </w:r>
    </w:p>
    <w:p>
      <w:pPr>
        <w:pStyle w:val="BodyText"/>
        <w:tabs>
          <w:tab w:pos="4231" w:val="left" w:leader="none"/>
        </w:tabs>
        <w:spacing w:before="136"/>
      </w:pPr>
      <w:r>
        <w:rPr/>
        <w:t>Sierra</w:t>
      </w:r>
      <w:r>
        <w:rPr>
          <w:spacing w:val="8"/>
        </w:rPr>
        <w:t> </w:t>
      </w:r>
      <w:r>
        <w:rPr>
          <w:spacing w:val="-2"/>
        </w:rPr>
        <w:t>Leone</w:t>
      </w:r>
      <w:r>
        <w:rPr/>
        <w:tab/>
      </w:r>
      <w:r>
        <w:rPr>
          <w:spacing w:val="-2"/>
        </w:rPr>
        <w:t>Tanzania</w:t>
      </w:r>
    </w:p>
    <w:p>
      <w:pPr>
        <w:pStyle w:val="BodyText"/>
        <w:spacing w:before="136"/>
      </w:pPr>
      <w:r>
        <w:rPr>
          <w:spacing w:val="-2"/>
        </w:rPr>
        <w:t>Cameroon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9" w:val="left" w:leader="none"/>
        </w:tabs>
        <w:spacing w:line="369" w:lineRule="auto" w:before="0" w:after="0"/>
        <w:ind w:left="848" w:right="676" w:hanging="677"/>
        <w:jc w:val="left"/>
        <w:rPr>
          <w:sz w:val="22"/>
        </w:rPr>
      </w:pPr>
      <w:r>
        <w:rPr>
          <w:sz w:val="22"/>
        </w:rPr>
        <w:t>That the following countries have been elected members of the Board of External </w:t>
      </w:r>
      <w:r>
        <w:rPr>
          <w:spacing w:val="-2"/>
          <w:sz w:val="22"/>
        </w:rPr>
        <w:t>Auditors: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  <w:tabs>
          <w:tab w:pos="4231" w:val="left" w:leader="none"/>
        </w:tabs>
      </w:pPr>
      <w:r>
        <w:rPr>
          <w:spacing w:val="-2"/>
        </w:rPr>
        <w:t>Niger</w:t>
      </w:r>
      <w:r>
        <w:rPr/>
        <w:tab/>
      </w:r>
      <w:r>
        <w:rPr>
          <w:spacing w:val="-2"/>
        </w:rPr>
        <w:t>Burundi</w:t>
      </w:r>
    </w:p>
    <w:p>
      <w:pPr>
        <w:pStyle w:val="BodyText"/>
        <w:tabs>
          <w:tab w:pos="4231" w:val="left" w:leader="none"/>
        </w:tabs>
        <w:spacing w:before="141"/>
      </w:pPr>
      <w:r>
        <w:rPr/>
        <w:t>Upper</w:t>
      </w:r>
      <w:r>
        <w:rPr>
          <w:spacing w:val="16"/>
        </w:rPr>
        <w:t> </w:t>
      </w:r>
      <w:r>
        <w:rPr>
          <w:spacing w:val="-2"/>
        </w:rPr>
        <w:t>Volta</w:t>
      </w:r>
      <w:r>
        <w:rPr/>
        <w:tab/>
        <w:t>Central</w:t>
      </w:r>
      <w:r>
        <w:rPr>
          <w:spacing w:val="-7"/>
        </w:rPr>
        <w:t> </w:t>
      </w:r>
      <w:r>
        <w:rPr/>
        <w:t>African</w:t>
      </w:r>
      <w:r>
        <w:rPr>
          <w:spacing w:val="-6"/>
        </w:rPr>
        <w:t> </w:t>
      </w:r>
      <w:r>
        <w:rPr>
          <w:spacing w:val="-2"/>
        </w:rPr>
        <w:t>Republic</w:t>
      </w:r>
    </w:p>
    <w:p>
      <w:pPr>
        <w:pStyle w:val="BodyText"/>
        <w:tabs>
          <w:tab w:pos="4231" w:val="left" w:leader="none"/>
        </w:tabs>
        <w:spacing w:before="136"/>
      </w:pPr>
      <w:r>
        <w:rPr>
          <w:spacing w:val="-2"/>
        </w:rPr>
        <w:t>Mauritania</w:t>
      </w:r>
      <w:r>
        <w:rPr/>
        <w:tab/>
      </w:r>
      <w:r>
        <w:rPr>
          <w:spacing w:val="-2"/>
        </w:rPr>
        <w:t>Lesotho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9" w:val="left" w:leader="none"/>
        </w:tabs>
        <w:spacing w:line="364" w:lineRule="auto" w:before="0" w:after="0"/>
        <w:ind w:left="848" w:right="560" w:hanging="677"/>
        <w:jc w:val="left"/>
        <w:rPr>
          <w:sz w:val="22"/>
        </w:rPr>
      </w:pPr>
      <w:r>
        <w:rPr>
          <w:sz w:val="22"/>
        </w:rPr>
        <w:t>That the mandate of the members of the Advisory committee and f the Board of External Auditors shall extend for a period of three years ending in February 1978.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8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6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8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48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09" w:hanging="557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8" w:right="484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2023-06-07T08:45:05Z</dcterms:created>
  <dcterms:modified xsi:type="dcterms:W3CDTF">2023-06-07T08:45:05Z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