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7"/>
        <w:ind w:left="6742" w:right="141" w:hanging="58"/>
        <w:jc w:val="right"/>
      </w:pPr>
      <w:r>
        <w:rPr/>
        <w:t>CM/Res. 395 </w:t>
      </w:r>
      <w:r>
        <w:rPr/>
        <w:t>(XXIV) CM/Res.392</w:t>
      </w:r>
      <w:r>
        <w:rPr>
          <w:spacing w:val="22"/>
        </w:rPr>
        <w:t> </w:t>
      </w:r>
      <w:r>
        <w:rPr>
          <w:spacing w:val="-2"/>
        </w:rPr>
        <w:t>(XXIV)</w:t>
      </w:r>
    </w:p>
    <w:p>
      <w:pPr>
        <w:pStyle w:val="BodyText"/>
        <w:rPr>
          <w:sz w:val="24"/>
        </w:rPr>
      </w:pPr>
    </w:p>
    <w:p>
      <w:pPr>
        <w:pStyle w:val="BodyText"/>
        <w:spacing w:before="1"/>
      </w:pPr>
    </w:p>
    <w:p>
      <w:pPr>
        <w:pStyle w:val="Title"/>
      </w:pPr>
      <w:r>
        <w:rPr/>
        <w:t>RESOLUTION ON THE EXPULSION OF SOUTH AFRICA FROM THE TWENTY NINTH SESSION OF THE UNITED NATIONS GENERAL ASSEMBLY</w:t>
      </w:r>
    </w:p>
    <w:p>
      <w:pPr>
        <w:pStyle w:val="BodyText"/>
        <w:spacing w:before="5"/>
        <w:rPr>
          <w:b/>
          <w:sz w:val="34"/>
        </w:rPr>
      </w:pPr>
    </w:p>
    <w:p>
      <w:pPr>
        <w:pStyle w:val="BodyText"/>
        <w:spacing w:line="364" w:lineRule="auto" w:before="1"/>
        <w:ind w:left="171" w:right="40"/>
      </w:pPr>
      <w:r>
        <w:rPr/>
        <w:t>The Council of Ministers of the Organization of African Unity, meeting in its 24</w:t>
      </w:r>
      <w:r>
        <w:rPr>
          <w:vertAlign w:val="superscript"/>
        </w:rPr>
        <w:t>th</w:t>
      </w:r>
      <w:r>
        <w:rPr>
          <w:vertAlign w:val="baseline"/>
        </w:rPr>
        <w:t> Ordinary Session in Addis Ababa, Ethiopia, from 13 to 21 February 1975,</w:t>
      </w:r>
    </w:p>
    <w:p>
      <w:pPr>
        <w:pStyle w:val="BodyText"/>
        <w:spacing w:before="6"/>
        <w:rPr>
          <w:sz w:val="34"/>
        </w:rPr>
      </w:pPr>
    </w:p>
    <w:p>
      <w:pPr>
        <w:pStyle w:val="BodyText"/>
        <w:spacing w:line="369" w:lineRule="auto"/>
        <w:ind w:left="171" w:right="40" w:hanging="1"/>
      </w:pPr>
      <w:r>
        <w:rPr>
          <w:u w:val="single"/>
        </w:rPr>
        <w:t>Reaffirming</w:t>
      </w:r>
      <w:r>
        <w:rPr/>
        <w:t> the resolution No.CM/Res.342 (XXIII) of the council of Ministers held in Mogadishu concerning the status of South Africa at the United Nations;</w:t>
      </w:r>
    </w:p>
    <w:p>
      <w:pPr>
        <w:pStyle w:val="BodyText"/>
        <w:spacing w:before="1"/>
        <w:rPr>
          <w:sz w:val="34"/>
        </w:rPr>
      </w:pPr>
    </w:p>
    <w:p>
      <w:pPr>
        <w:pStyle w:val="BodyText"/>
        <w:spacing w:line="369" w:lineRule="auto"/>
        <w:ind w:left="171" w:right="340"/>
      </w:pPr>
      <w:r>
        <w:rPr>
          <w:u w:val="single"/>
        </w:rPr>
        <w:t>Having taken note</w:t>
      </w:r>
      <w:r>
        <w:rPr/>
        <w:t> of the report of the Administrative Secretary General of the OAU concerning the activities of the African Group at the United Nations and the Specialized Agencies of the United Nations, in particular the results achieved by Africa during the XXIXth Session of the United Nations General Assembly chaired by Mr Abdelaziz Bouteflika, Foreign Minister of Algeria;</w:t>
      </w:r>
    </w:p>
    <w:p>
      <w:pPr>
        <w:pStyle w:val="BodyText"/>
        <w:spacing w:before="5"/>
        <w:rPr>
          <w:sz w:val="33"/>
        </w:rPr>
      </w:pPr>
    </w:p>
    <w:p>
      <w:pPr>
        <w:pStyle w:val="BodyText"/>
        <w:ind w:left="171"/>
      </w:pPr>
      <w:r>
        <w:rPr>
          <w:u w:val="single"/>
        </w:rPr>
        <w:t>Having heard</w:t>
      </w:r>
      <w:r>
        <w:rPr>
          <w:spacing w:val="4"/>
        </w:rPr>
        <w:t> </w:t>
      </w:r>
      <w:r>
        <w:rPr/>
        <w:t>the statements</w:t>
      </w:r>
      <w:r>
        <w:rPr>
          <w:spacing w:val="-1"/>
        </w:rPr>
        <w:t> </w:t>
      </w:r>
      <w:r>
        <w:rPr/>
        <w:t>made by the member of </w:t>
      </w:r>
      <w:r>
        <w:rPr>
          <w:spacing w:val="-2"/>
        </w:rPr>
        <w:t>council;</w:t>
      </w:r>
    </w:p>
    <w:p>
      <w:pPr>
        <w:pStyle w:val="BodyText"/>
        <w:rPr>
          <w:sz w:val="24"/>
        </w:rPr>
      </w:pPr>
    </w:p>
    <w:p>
      <w:pPr>
        <w:pStyle w:val="BodyText"/>
        <w:spacing w:before="7"/>
        <w:rPr>
          <w:sz w:val="21"/>
        </w:rPr>
      </w:pPr>
    </w:p>
    <w:p>
      <w:pPr>
        <w:pStyle w:val="ListParagraph"/>
        <w:numPr>
          <w:ilvl w:val="0"/>
          <w:numId w:val="1"/>
        </w:numPr>
        <w:tabs>
          <w:tab w:pos="847" w:val="left" w:leader="none"/>
          <w:tab w:pos="849" w:val="left" w:leader="none"/>
        </w:tabs>
        <w:spacing w:line="369" w:lineRule="auto" w:before="1" w:after="0"/>
        <w:ind w:left="847" w:right="437" w:hanging="677"/>
        <w:jc w:val="left"/>
        <w:rPr>
          <w:sz w:val="22"/>
        </w:rPr>
      </w:pPr>
      <w:r>
        <w:rPr>
          <w:sz w:val="22"/>
        </w:rPr>
        <w:t>MAKES a point of renewing the expression of its confidence and full solidarity with the Chairman of the XXIXth Session of the General Assembly, Mr. Abdelaziz Bouteflika, and congratulates him on his decisive role in defending Africa’s stand,</w:t>
      </w:r>
    </w:p>
    <w:p>
      <w:pPr>
        <w:pStyle w:val="BodyText"/>
        <w:spacing w:before="6"/>
        <w:rPr>
          <w:sz w:val="33"/>
        </w:rPr>
      </w:pPr>
    </w:p>
    <w:p>
      <w:pPr>
        <w:pStyle w:val="ListParagraph"/>
        <w:numPr>
          <w:ilvl w:val="0"/>
          <w:numId w:val="1"/>
        </w:numPr>
        <w:tabs>
          <w:tab w:pos="847" w:val="left" w:leader="none"/>
          <w:tab w:pos="848" w:val="left" w:leader="none"/>
        </w:tabs>
        <w:spacing w:line="369" w:lineRule="auto" w:before="1" w:after="0"/>
        <w:ind w:left="847" w:right="565" w:hanging="677"/>
        <w:jc w:val="left"/>
        <w:rPr>
          <w:sz w:val="22"/>
        </w:rPr>
      </w:pPr>
      <w:r>
        <w:rPr>
          <w:sz w:val="22"/>
        </w:rPr>
        <w:t>CONGRATULATES the African Group at the United Nations and the Specialized Agencies of the United Nations on the cohesion it displayed and its positive role within the group of non-aligned countries;</w:t>
      </w:r>
    </w:p>
    <w:p>
      <w:pPr>
        <w:pStyle w:val="BodyText"/>
        <w:rPr>
          <w:sz w:val="34"/>
        </w:rPr>
      </w:pPr>
    </w:p>
    <w:p>
      <w:pPr>
        <w:pStyle w:val="ListParagraph"/>
        <w:numPr>
          <w:ilvl w:val="0"/>
          <w:numId w:val="1"/>
        </w:numPr>
        <w:tabs>
          <w:tab w:pos="847" w:val="left" w:leader="none"/>
          <w:tab w:pos="849" w:val="left" w:leader="none"/>
        </w:tabs>
        <w:spacing w:line="369" w:lineRule="auto" w:before="0" w:after="0"/>
        <w:ind w:left="847" w:right="423" w:hanging="677"/>
        <w:jc w:val="left"/>
        <w:rPr>
          <w:sz w:val="22"/>
        </w:rPr>
      </w:pPr>
      <w:r>
        <w:rPr>
          <w:sz w:val="22"/>
        </w:rPr>
        <w:t>EXPRESSES its gratitude to the other United Nations Group for their contributions towards the success of the African initiative,</w:t>
      </w:r>
    </w:p>
    <w:p>
      <w:pPr>
        <w:pStyle w:val="BodyText"/>
        <w:spacing w:before="3"/>
        <w:rPr>
          <w:sz w:val="33"/>
        </w:rPr>
      </w:pPr>
    </w:p>
    <w:p>
      <w:pPr>
        <w:pStyle w:val="ListParagraph"/>
        <w:numPr>
          <w:ilvl w:val="0"/>
          <w:numId w:val="1"/>
        </w:numPr>
        <w:tabs>
          <w:tab w:pos="847" w:val="left" w:leader="none"/>
          <w:tab w:pos="848" w:val="left" w:leader="none"/>
        </w:tabs>
        <w:spacing w:line="369" w:lineRule="auto" w:before="0" w:after="0"/>
        <w:ind w:left="848" w:right="242" w:hanging="677"/>
        <w:jc w:val="left"/>
        <w:rPr>
          <w:sz w:val="22"/>
        </w:rPr>
      </w:pPr>
      <w:r>
        <w:rPr>
          <w:sz w:val="22"/>
        </w:rPr>
        <w:t>REQUESTS the African Group at the United Nations and the Specialized Agencies of the United Nations to step up its efforts and vigilance in order to consolidate, in the interests</w:t>
      </w:r>
      <w:r>
        <w:rPr>
          <w:spacing w:val="16"/>
          <w:sz w:val="22"/>
        </w:rPr>
        <w:t> </w:t>
      </w:r>
      <w:r>
        <w:rPr>
          <w:sz w:val="22"/>
        </w:rPr>
        <w:t>of</w:t>
      </w:r>
      <w:r>
        <w:rPr>
          <w:spacing w:val="16"/>
          <w:sz w:val="22"/>
        </w:rPr>
        <w:t> </w:t>
      </w:r>
      <w:r>
        <w:rPr>
          <w:sz w:val="22"/>
        </w:rPr>
        <w:t>Africa</w:t>
      </w:r>
      <w:r>
        <w:rPr>
          <w:spacing w:val="16"/>
          <w:sz w:val="22"/>
        </w:rPr>
        <w:t> </w:t>
      </w:r>
      <w:r>
        <w:rPr>
          <w:sz w:val="22"/>
        </w:rPr>
        <w:t>and</w:t>
      </w:r>
      <w:r>
        <w:rPr>
          <w:spacing w:val="18"/>
          <w:sz w:val="22"/>
        </w:rPr>
        <w:t> </w:t>
      </w:r>
      <w:r>
        <w:rPr>
          <w:sz w:val="22"/>
        </w:rPr>
        <w:t>all</w:t>
      </w:r>
      <w:r>
        <w:rPr>
          <w:spacing w:val="16"/>
          <w:sz w:val="22"/>
        </w:rPr>
        <w:t> </w:t>
      </w:r>
      <w:r>
        <w:rPr>
          <w:sz w:val="22"/>
        </w:rPr>
        <w:t>the</w:t>
      </w:r>
      <w:r>
        <w:rPr>
          <w:spacing w:val="16"/>
          <w:sz w:val="22"/>
        </w:rPr>
        <w:t> </w:t>
      </w:r>
      <w:r>
        <w:rPr>
          <w:sz w:val="22"/>
        </w:rPr>
        <w:t>countries</w:t>
      </w:r>
      <w:r>
        <w:rPr>
          <w:spacing w:val="16"/>
          <w:sz w:val="22"/>
        </w:rPr>
        <w:t> </w:t>
      </w:r>
      <w:r>
        <w:rPr>
          <w:sz w:val="22"/>
        </w:rPr>
        <w:t>of</w:t>
      </w:r>
      <w:r>
        <w:rPr>
          <w:spacing w:val="16"/>
          <w:sz w:val="22"/>
        </w:rPr>
        <w:t> </w:t>
      </w:r>
      <w:r>
        <w:rPr>
          <w:sz w:val="22"/>
        </w:rPr>
        <w:t>the</w:t>
      </w:r>
      <w:r>
        <w:rPr>
          <w:spacing w:val="16"/>
          <w:sz w:val="22"/>
        </w:rPr>
        <w:t> </w:t>
      </w:r>
      <w:r>
        <w:rPr>
          <w:sz w:val="22"/>
        </w:rPr>
        <w:t>Third</w:t>
      </w:r>
      <w:r>
        <w:rPr>
          <w:spacing w:val="18"/>
          <w:sz w:val="22"/>
        </w:rPr>
        <w:t> </w:t>
      </w:r>
      <w:r>
        <w:rPr>
          <w:sz w:val="22"/>
        </w:rPr>
        <w:t>World,</w:t>
      </w:r>
      <w:r>
        <w:rPr>
          <w:spacing w:val="18"/>
          <w:sz w:val="22"/>
        </w:rPr>
        <w:t> </w:t>
      </w:r>
      <w:r>
        <w:rPr>
          <w:sz w:val="22"/>
        </w:rPr>
        <w:t>the</w:t>
      </w:r>
      <w:r>
        <w:rPr>
          <w:spacing w:val="16"/>
          <w:sz w:val="22"/>
        </w:rPr>
        <w:t> </w:t>
      </w:r>
      <w:r>
        <w:rPr>
          <w:sz w:val="22"/>
        </w:rPr>
        <w:t>results</w:t>
      </w:r>
      <w:r>
        <w:rPr>
          <w:spacing w:val="16"/>
          <w:sz w:val="22"/>
        </w:rPr>
        <w:t> </w:t>
      </w:r>
      <w:r>
        <w:rPr>
          <w:sz w:val="22"/>
        </w:rPr>
        <w:t>achieved</w:t>
      </w:r>
      <w:r>
        <w:rPr>
          <w:sz w:val="22"/>
        </w:rPr>
        <w:t> during the XXIXth Session of the General Assembly,</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636" w:hanging="677"/>
      </w:pPr>
      <w:rPr>
        <w:rFonts w:hint="default"/>
        <w:lang w:val="en-US" w:eastAsia="en-US" w:bidi="ar-SA"/>
      </w:rPr>
    </w:lvl>
    <w:lvl w:ilvl="2">
      <w:start w:val="0"/>
      <w:numFmt w:val="bullet"/>
      <w:lvlText w:val="•"/>
      <w:lvlJc w:val="left"/>
      <w:pPr>
        <w:ind w:left="2432" w:hanging="677"/>
      </w:pPr>
      <w:rPr>
        <w:rFonts w:hint="default"/>
        <w:lang w:val="en-US" w:eastAsia="en-US" w:bidi="ar-SA"/>
      </w:rPr>
    </w:lvl>
    <w:lvl w:ilvl="3">
      <w:start w:val="0"/>
      <w:numFmt w:val="bullet"/>
      <w:lvlText w:val="•"/>
      <w:lvlJc w:val="left"/>
      <w:pPr>
        <w:ind w:left="3228" w:hanging="677"/>
      </w:pPr>
      <w:rPr>
        <w:rFonts w:hint="default"/>
        <w:lang w:val="en-US" w:eastAsia="en-US" w:bidi="ar-SA"/>
      </w:rPr>
    </w:lvl>
    <w:lvl w:ilvl="4">
      <w:start w:val="0"/>
      <w:numFmt w:val="bullet"/>
      <w:lvlText w:val="•"/>
      <w:lvlJc w:val="left"/>
      <w:pPr>
        <w:ind w:left="4024" w:hanging="677"/>
      </w:pPr>
      <w:rPr>
        <w:rFonts w:hint="default"/>
        <w:lang w:val="en-US" w:eastAsia="en-US" w:bidi="ar-SA"/>
      </w:rPr>
    </w:lvl>
    <w:lvl w:ilvl="5">
      <w:start w:val="0"/>
      <w:numFmt w:val="bullet"/>
      <w:lvlText w:val="•"/>
      <w:lvlJc w:val="left"/>
      <w:pPr>
        <w:ind w:left="4820" w:hanging="677"/>
      </w:pPr>
      <w:rPr>
        <w:rFonts w:hint="default"/>
        <w:lang w:val="en-US" w:eastAsia="en-US" w:bidi="ar-SA"/>
      </w:rPr>
    </w:lvl>
    <w:lvl w:ilvl="6">
      <w:start w:val="0"/>
      <w:numFmt w:val="bullet"/>
      <w:lvlText w:val="•"/>
      <w:lvlJc w:val="left"/>
      <w:pPr>
        <w:ind w:left="5616" w:hanging="677"/>
      </w:pPr>
      <w:rPr>
        <w:rFonts w:hint="default"/>
        <w:lang w:val="en-US" w:eastAsia="en-US" w:bidi="ar-SA"/>
      </w:rPr>
    </w:lvl>
    <w:lvl w:ilvl="7">
      <w:start w:val="0"/>
      <w:numFmt w:val="bullet"/>
      <w:lvlText w:val="•"/>
      <w:lvlJc w:val="left"/>
      <w:pPr>
        <w:ind w:left="6412" w:hanging="677"/>
      </w:pPr>
      <w:rPr>
        <w:rFonts w:hint="default"/>
        <w:lang w:val="en-US" w:eastAsia="en-US" w:bidi="ar-SA"/>
      </w:rPr>
    </w:lvl>
    <w:lvl w:ilvl="8">
      <w:start w:val="0"/>
      <w:numFmt w:val="bullet"/>
      <w:lvlText w:val="•"/>
      <w:lvlJc w:val="left"/>
      <w:pPr>
        <w:ind w:left="720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001" w:right="40" w:hanging="57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47" w:right="242"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2023-06-07T08:45:15Z</dcterms:created>
  <dcterms:modified xsi:type="dcterms:W3CDTF">2023-06-07T08:45:15Z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