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before="96"/>
        <w:ind w:right="557"/>
        <w:rPr>
          <w:u w:val="none"/>
        </w:rPr>
      </w:pPr>
      <w:r>
        <w:rPr>
          <w:u w:val="single"/>
        </w:rPr>
        <w:t>RESOLUTION ON THE AFRICAN INTER-MINISTERIAL COMMITTEE TO</w:t>
      </w:r>
      <w:r>
        <w:rPr>
          <w:u w:val="none"/>
        </w:rPr>
        <w:t> </w:t>
      </w:r>
      <w:r>
        <w:rPr>
          <w:u w:val="single"/>
        </w:rPr>
        <w:t>SERVE AS A REGIONAL ARM OF THE WORLD FOOD</w:t>
      </w:r>
    </w:p>
    <w:p>
      <w:pPr>
        <w:pStyle w:val="Title"/>
        <w:spacing w:line="251" w:lineRule="exact"/>
        <w:rPr>
          <w:u w:val="none"/>
        </w:rPr>
      </w:pPr>
      <w:r>
        <w:rPr>
          <w:spacing w:val="-2"/>
          <w:u w:val="single"/>
        </w:rPr>
        <w:t>COUNCIL</w:t>
      </w:r>
    </w:p>
    <w:p>
      <w:pPr>
        <w:pStyle w:val="BodyText"/>
        <w:rPr>
          <w:b/>
          <w:sz w:val="20"/>
        </w:rPr>
      </w:pPr>
    </w:p>
    <w:p>
      <w:pPr>
        <w:pStyle w:val="BodyText"/>
        <w:spacing w:before="10"/>
        <w:rPr>
          <w:b/>
          <w:sz w:val="16"/>
        </w:rPr>
      </w:pPr>
    </w:p>
    <w:p>
      <w:pPr>
        <w:pStyle w:val="BodyText"/>
        <w:spacing w:line="369" w:lineRule="auto" w:before="96"/>
        <w:ind w:left="171" w:right="137" w:firstLine="676"/>
        <w:jc w:val="both"/>
      </w:pPr>
      <w:r>
        <w:rPr/>
        <w:t>The Council of Ministers of the Organization of African Unity, meeting in its Twenty- Fourth Ordinary Session in Addis Ababa from 13 to 21 February, 1975,</w:t>
      </w:r>
    </w:p>
    <w:p>
      <w:pPr>
        <w:pStyle w:val="BodyText"/>
        <w:spacing w:before="8"/>
        <w:rPr>
          <w:sz w:val="33"/>
        </w:rPr>
      </w:pPr>
    </w:p>
    <w:p>
      <w:pPr>
        <w:pStyle w:val="BodyText"/>
        <w:spacing w:line="369" w:lineRule="auto"/>
        <w:ind w:left="171" w:right="154" w:firstLine="676"/>
        <w:jc w:val="both"/>
      </w:pPr>
      <w:r>
        <w:rPr>
          <w:b/>
          <w:u w:val="single"/>
        </w:rPr>
        <w:t>Recognizing</w:t>
      </w:r>
      <w:r>
        <w:rPr>
          <w:b/>
        </w:rPr>
        <w:t> </w:t>
      </w:r>
      <w:r>
        <w:rPr/>
        <w:t>than an assurance of adequate food supply for the African region is a matter of utmost importance for the African populations,</w:t>
      </w:r>
    </w:p>
    <w:p>
      <w:pPr>
        <w:pStyle w:val="BodyText"/>
        <w:spacing w:before="7"/>
        <w:rPr>
          <w:sz w:val="33"/>
        </w:rPr>
      </w:pPr>
    </w:p>
    <w:p>
      <w:pPr>
        <w:pStyle w:val="BodyText"/>
        <w:spacing w:line="369" w:lineRule="auto" w:before="1"/>
        <w:ind w:left="171" w:right="139" w:firstLine="676"/>
        <w:jc w:val="both"/>
      </w:pPr>
      <w:r>
        <w:rPr>
          <w:b/>
          <w:u w:val="single"/>
        </w:rPr>
        <w:t>Recognizing</w:t>
      </w:r>
      <w:r>
        <w:rPr>
          <w:b/>
          <w:spacing w:val="40"/>
        </w:rPr>
        <w:t> </w:t>
      </w:r>
      <w:r>
        <w:rPr/>
        <w:t>the</w:t>
      </w:r>
      <w:r>
        <w:rPr>
          <w:spacing w:val="40"/>
        </w:rPr>
        <w:t> </w:t>
      </w:r>
      <w:r>
        <w:rPr/>
        <w:t>need</w:t>
      </w:r>
      <w:r>
        <w:rPr>
          <w:spacing w:val="40"/>
        </w:rPr>
        <w:t> </w:t>
      </w:r>
      <w:r>
        <w:rPr/>
        <w:t>to</w:t>
      </w:r>
      <w:r>
        <w:rPr>
          <w:spacing w:val="40"/>
        </w:rPr>
        <w:t> </w:t>
      </w:r>
      <w:r>
        <w:rPr/>
        <w:t>increase</w:t>
      </w:r>
      <w:r>
        <w:rPr>
          <w:spacing w:val="40"/>
        </w:rPr>
        <w:t> </w:t>
      </w:r>
      <w:r>
        <w:rPr/>
        <w:t>food</w:t>
      </w:r>
      <w:r>
        <w:rPr>
          <w:spacing w:val="40"/>
        </w:rPr>
        <w:t> </w:t>
      </w:r>
      <w:r>
        <w:rPr/>
        <w:t>production</w:t>
      </w:r>
      <w:r>
        <w:rPr>
          <w:spacing w:val="40"/>
        </w:rPr>
        <w:t> </w:t>
      </w:r>
      <w:r>
        <w:rPr/>
        <w:t>in</w:t>
      </w:r>
      <w:r>
        <w:rPr>
          <w:spacing w:val="40"/>
        </w:rPr>
        <w:t> </w:t>
      </w:r>
      <w:r>
        <w:rPr/>
        <w:t>Member</w:t>
      </w:r>
      <w:r>
        <w:rPr>
          <w:spacing w:val="40"/>
        </w:rPr>
        <w:t> </w:t>
      </w:r>
      <w:r>
        <w:rPr/>
        <w:t>States</w:t>
      </w:r>
      <w:r>
        <w:rPr>
          <w:spacing w:val="40"/>
        </w:rPr>
        <w:t> </w:t>
      </w:r>
      <w:r>
        <w:rPr/>
        <w:t>and</w:t>
      </w:r>
      <w:r>
        <w:rPr>
          <w:spacing w:val="11"/>
        </w:rPr>
        <w:t> to</w:t>
      </w:r>
      <w:r>
        <w:rPr>
          <w:spacing w:val="11"/>
        </w:rPr>
        <w:t> </w:t>
      </w:r>
      <w:r>
        <w:rPr/>
        <w:t>ensure that prompt action is taken to meet the threat of acute food shortage or famine in the region,</w:t>
      </w:r>
    </w:p>
    <w:p>
      <w:pPr>
        <w:pStyle w:val="BodyText"/>
        <w:rPr>
          <w:sz w:val="34"/>
        </w:rPr>
      </w:pPr>
    </w:p>
    <w:p>
      <w:pPr>
        <w:pStyle w:val="BodyText"/>
        <w:spacing w:line="364" w:lineRule="auto" w:before="1"/>
        <w:ind w:left="171" w:right="168" w:firstLine="676"/>
        <w:jc w:val="both"/>
      </w:pPr>
      <w:r>
        <w:rPr>
          <w:b/>
          <w:u w:val="single"/>
        </w:rPr>
        <w:t>Considering</w:t>
      </w:r>
      <w:r>
        <w:rPr>
          <w:b/>
        </w:rPr>
        <w:t> </w:t>
      </w:r>
      <w:r>
        <w:rPr/>
        <w:t>the shortage of food in the region which has been aggravated by recent droughts, natural disasters and uncontrolled environment,</w:t>
      </w:r>
    </w:p>
    <w:p>
      <w:pPr>
        <w:pStyle w:val="BodyText"/>
        <w:spacing w:before="6"/>
        <w:rPr>
          <w:sz w:val="34"/>
        </w:rPr>
      </w:pPr>
    </w:p>
    <w:p>
      <w:pPr>
        <w:pStyle w:val="BodyText"/>
        <w:spacing w:line="369" w:lineRule="auto"/>
        <w:ind w:left="171" w:right="154" w:firstLine="676"/>
        <w:jc w:val="both"/>
      </w:pPr>
      <w:r>
        <w:rPr>
          <w:b/>
          <w:u w:val="single"/>
        </w:rPr>
        <w:t>Noting</w:t>
      </w:r>
      <w:r>
        <w:rPr>
          <w:b/>
        </w:rPr>
        <w:t> </w:t>
      </w:r>
      <w:r>
        <w:rPr/>
        <w:t>that the activities and programmes undertaken by the different United Nations Specialized Agencies in the African region have not resulted in much improvement in agriculture and food production,</w:t>
      </w:r>
    </w:p>
    <w:p>
      <w:pPr>
        <w:pStyle w:val="BodyText"/>
        <w:spacing w:before="7"/>
        <w:rPr>
          <w:sz w:val="33"/>
        </w:rPr>
      </w:pPr>
    </w:p>
    <w:p>
      <w:pPr>
        <w:pStyle w:val="BodyText"/>
        <w:spacing w:line="369" w:lineRule="auto"/>
        <w:ind w:left="171" w:right="152" w:firstLine="676"/>
        <w:jc w:val="both"/>
      </w:pPr>
      <w:r>
        <w:rPr>
          <w:b/>
          <w:u w:val="single"/>
        </w:rPr>
        <w:t>Noting</w:t>
      </w:r>
      <w:r>
        <w:rPr>
          <w:b/>
        </w:rPr>
        <w:t> </w:t>
      </w:r>
      <w:r>
        <w:rPr/>
        <w:t>that the FAO African Regional Conference of Ministers of Agriculture which meets biennially is not an operational body,</w:t>
      </w:r>
    </w:p>
    <w:p>
      <w:pPr>
        <w:pStyle w:val="BodyText"/>
        <w:spacing w:before="7"/>
        <w:rPr>
          <w:sz w:val="33"/>
        </w:rPr>
      </w:pPr>
    </w:p>
    <w:p>
      <w:pPr>
        <w:pStyle w:val="BodyText"/>
        <w:spacing w:line="369" w:lineRule="auto" w:before="1"/>
        <w:ind w:left="171" w:right="154" w:firstLine="676"/>
        <w:jc w:val="both"/>
      </w:pPr>
      <w:r>
        <w:rPr>
          <w:b/>
          <w:u w:val="single"/>
        </w:rPr>
        <w:t>Considering</w:t>
      </w:r>
      <w:r>
        <w:rPr>
          <w:b/>
        </w:rPr>
        <w:t> </w:t>
      </w:r>
      <w:r>
        <w:rPr/>
        <w:t>document E/CONF/65/C.2/L.16 (Part 1), of Rome World Food Conference, relating to the feasibility and necessity of establishing World Food Council with operational regional institutions to deal with the problems of food production in each region,</w:t>
      </w:r>
    </w:p>
    <w:p>
      <w:pPr>
        <w:pStyle w:val="BodyText"/>
        <w:spacing w:before="6"/>
        <w:rPr>
          <w:sz w:val="33"/>
        </w:rPr>
      </w:pPr>
    </w:p>
    <w:p>
      <w:pPr>
        <w:pStyle w:val="ListParagraph"/>
        <w:numPr>
          <w:ilvl w:val="0"/>
          <w:numId w:val="1"/>
        </w:numPr>
        <w:tabs>
          <w:tab w:pos="1189" w:val="left" w:leader="none"/>
        </w:tabs>
        <w:spacing w:line="369" w:lineRule="auto" w:before="1" w:after="0"/>
        <w:ind w:left="1188" w:right="140" w:hanging="341"/>
        <w:jc w:val="both"/>
        <w:rPr>
          <w:sz w:val="22"/>
        </w:rPr>
      </w:pPr>
      <w:r>
        <w:rPr>
          <w:b/>
          <w:sz w:val="22"/>
        </w:rPr>
        <w:t>RECOMMENDS </w:t>
      </w:r>
      <w:r>
        <w:rPr>
          <w:sz w:val="22"/>
        </w:rPr>
        <w:t>the establishment of African Inter-Ministerial Committee composed</w:t>
      </w:r>
      <w:r>
        <w:rPr>
          <w:spacing w:val="40"/>
          <w:sz w:val="22"/>
        </w:rPr>
        <w:t> </w:t>
      </w:r>
      <w:r>
        <w:rPr>
          <w:sz w:val="22"/>
        </w:rPr>
        <w:t>of</w:t>
      </w:r>
      <w:r>
        <w:rPr>
          <w:spacing w:val="40"/>
          <w:sz w:val="22"/>
        </w:rPr>
        <w:t> </w:t>
      </w:r>
      <w:r>
        <w:rPr>
          <w:sz w:val="22"/>
        </w:rPr>
        <w:t>National</w:t>
      </w:r>
      <w:r>
        <w:rPr>
          <w:spacing w:val="40"/>
          <w:sz w:val="22"/>
        </w:rPr>
        <w:t> </w:t>
      </w:r>
      <w:r>
        <w:rPr>
          <w:sz w:val="22"/>
        </w:rPr>
        <w:t>Ministers</w:t>
      </w:r>
      <w:r>
        <w:rPr>
          <w:spacing w:val="40"/>
          <w:sz w:val="22"/>
        </w:rPr>
        <w:t> </w:t>
      </w:r>
      <w:r>
        <w:rPr>
          <w:sz w:val="22"/>
        </w:rPr>
        <w:t>of</w:t>
      </w:r>
      <w:r>
        <w:rPr>
          <w:spacing w:val="40"/>
          <w:sz w:val="22"/>
        </w:rPr>
        <w:t> </w:t>
      </w:r>
      <w:r>
        <w:rPr>
          <w:sz w:val="22"/>
        </w:rPr>
        <w:t>Agriculture</w:t>
      </w:r>
      <w:r>
        <w:rPr>
          <w:spacing w:val="40"/>
          <w:sz w:val="22"/>
        </w:rPr>
        <w:t> </w:t>
      </w:r>
      <w:r>
        <w:rPr>
          <w:sz w:val="22"/>
        </w:rPr>
        <w:t>sponsored</w:t>
      </w:r>
      <w:r>
        <w:rPr>
          <w:spacing w:val="40"/>
          <w:sz w:val="22"/>
        </w:rPr>
        <w:t> </w:t>
      </w:r>
      <w:r>
        <w:rPr>
          <w:sz w:val="22"/>
        </w:rPr>
        <w:t>by</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by jointly serviced by the General Secretariat of the OAU, ECA and FAO and other International Organizations as appropriate to serve as and operational arm of the World Food Council;</w:t>
      </w:r>
    </w:p>
    <w:p>
      <w:pPr>
        <w:pStyle w:val="BodyText"/>
        <w:spacing w:before="10"/>
        <w:rPr>
          <w:sz w:val="33"/>
        </w:rPr>
      </w:pPr>
    </w:p>
    <w:p>
      <w:pPr>
        <w:pStyle w:val="ListParagraph"/>
        <w:numPr>
          <w:ilvl w:val="0"/>
          <w:numId w:val="1"/>
        </w:numPr>
        <w:tabs>
          <w:tab w:pos="1189" w:val="left" w:leader="none"/>
        </w:tabs>
        <w:spacing w:line="369" w:lineRule="auto" w:before="0" w:after="0"/>
        <w:ind w:left="1188" w:right="137" w:hanging="341"/>
        <w:jc w:val="both"/>
        <w:rPr>
          <w:sz w:val="22"/>
        </w:rPr>
      </w:pPr>
      <w:r>
        <w:rPr>
          <w:b/>
          <w:sz w:val="22"/>
        </w:rPr>
        <w:t>RECOMMENDS</w:t>
      </w:r>
      <w:r>
        <w:rPr>
          <w:b/>
          <w:spacing w:val="40"/>
          <w:sz w:val="22"/>
        </w:rPr>
        <w:t> </w:t>
      </w:r>
      <w:r>
        <w:rPr>
          <w:sz w:val="22"/>
        </w:rPr>
        <w:t>the</w:t>
      </w:r>
      <w:r>
        <w:rPr>
          <w:spacing w:val="40"/>
          <w:sz w:val="22"/>
        </w:rPr>
        <w:t> </w:t>
      </w:r>
      <w:r>
        <w:rPr>
          <w:sz w:val="22"/>
        </w:rPr>
        <w:t>establishment</w:t>
      </w:r>
      <w:r>
        <w:rPr>
          <w:spacing w:val="40"/>
          <w:sz w:val="22"/>
        </w:rPr>
        <w:t> </w:t>
      </w:r>
      <w:r>
        <w:rPr>
          <w:sz w:val="22"/>
        </w:rPr>
        <w:t>of</w:t>
      </w:r>
      <w:r>
        <w:rPr>
          <w:spacing w:val="40"/>
          <w:sz w:val="22"/>
        </w:rPr>
        <w:t> </w:t>
      </w:r>
      <w:r>
        <w:rPr>
          <w:sz w:val="22"/>
        </w:rPr>
        <w:t>a</w:t>
      </w:r>
      <w:r>
        <w:rPr>
          <w:spacing w:val="40"/>
          <w:sz w:val="22"/>
        </w:rPr>
        <w:t> </w:t>
      </w:r>
      <w:r>
        <w:rPr>
          <w:sz w:val="22"/>
        </w:rPr>
        <w:t>Working</w:t>
      </w:r>
      <w:r>
        <w:rPr>
          <w:spacing w:val="40"/>
          <w:sz w:val="22"/>
        </w:rPr>
        <w:t> </w:t>
      </w:r>
      <w:r>
        <w:rPr>
          <w:sz w:val="22"/>
        </w:rPr>
        <w:t>Party</w:t>
      </w:r>
      <w:r>
        <w:rPr>
          <w:spacing w:val="40"/>
          <w:sz w:val="22"/>
        </w:rPr>
        <w:t> </w:t>
      </w:r>
      <w:r>
        <w:rPr>
          <w:sz w:val="22"/>
        </w:rPr>
        <w:t>made-up</w:t>
      </w:r>
      <w:r>
        <w:rPr>
          <w:spacing w:val="40"/>
          <w:sz w:val="22"/>
        </w:rPr>
        <w:t> </w:t>
      </w:r>
      <w:r>
        <w:rPr>
          <w:sz w:val="22"/>
        </w:rPr>
        <w:t>of representatives</w:t>
      </w:r>
      <w:r>
        <w:rPr>
          <w:spacing w:val="28"/>
          <w:sz w:val="22"/>
        </w:rPr>
        <w:t> </w:t>
      </w:r>
      <w:r>
        <w:rPr>
          <w:sz w:val="22"/>
        </w:rPr>
        <w:t>form</w:t>
      </w:r>
      <w:r>
        <w:rPr>
          <w:spacing w:val="29"/>
          <w:sz w:val="22"/>
        </w:rPr>
        <w:t> </w:t>
      </w:r>
      <w:r>
        <w:rPr>
          <w:sz w:val="22"/>
        </w:rPr>
        <w:t>each</w:t>
      </w:r>
      <w:r>
        <w:rPr>
          <w:spacing w:val="28"/>
          <w:sz w:val="22"/>
        </w:rPr>
        <w:t> </w:t>
      </w:r>
      <w:r>
        <w:rPr>
          <w:sz w:val="22"/>
        </w:rPr>
        <w:t>sub-region</w:t>
      </w:r>
      <w:r>
        <w:rPr>
          <w:spacing w:val="27"/>
          <w:sz w:val="22"/>
        </w:rPr>
        <w:t> </w:t>
      </w:r>
      <w:r>
        <w:rPr>
          <w:sz w:val="22"/>
        </w:rPr>
        <w:t>(constituted</w:t>
      </w:r>
      <w:r>
        <w:rPr>
          <w:spacing w:val="28"/>
          <w:sz w:val="22"/>
        </w:rPr>
        <w:t> </w:t>
      </w:r>
      <w:r>
        <w:rPr>
          <w:sz w:val="22"/>
        </w:rPr>
        <w:t>of</w:t>
      </w:r>
      <w:r>
        <w:rPr>
          <w:spacing w:val="27"/>
          <w:sz w:val="22"/>
        </w:rPr>
        <w:t> </w:t>
      </w:r>
      <w:r>
        <w:rPr>
          <w:sz w:val="22"/>
        </w:rPr>
        <w:t>the</w:t>
      </w:r>
      <w:r>
        <w:rPr>
          <w:spacing w:val="27"/>
          <w:sz w:val="22"/>
        </w:rPr>
        <w:t> </w:t>
      </w:r>
      <w:r>
        <w:rPr>
          <w:sz w:val="22"/>
        </w:rPr>
        <w:t>following Member States</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BodyText"/>
        <w:spacing w:line="369" w:lineRule="auto" w:before="5"/>
        <w:ind w:left="1188" w:right="146"/>
        <w:jc w:val="both"/>
      </w:pPr>
      <w:r>
        <w:rPr/>
        <w:t>Nigeria, Senegal, Upper Volta, Ghana, Sudan, Kenya, Tanzania, Swaziland,</w:t>
      </w:r>
      <w:r>
        <w:rPr>
          <w:spacing w:val="40"/>
        </w:rPr>
        <w:t> </w:t>
      </w:r>
      <w:r>
        <w:rPr/>
        <w:t>Uganda, Egypt, Morocco, Libya, Algeria, Rwanda, Congo and Zaire) and assisted</w:t>
      </w:r>
      <w:r>
        <w:rPr>
          <w:spacing w:val="40"/>
        </w:rPr>
        <w:t> </w:t>
      </w:r>
      <w:r>
        <w:rPr/>
        <w:t>by the ECA, FAO, UNDP, WFP and UNICEF to undertake the following </w:t>
      </w:r>
      <w:r>
        <w:rPr>
          <w:spacing w:val="-2"/>
        </w:rPr>
        <w:t>assignments;</w:t>
      </w:r>
    </w:p>
    <w:p>
      <w:pPr>
        <w:pStyle w:val="BodyText"/>
        <w:spacing w:before="11"/>
        <w:rPr>
          <w:sz w:val="33"/>
        </w:rPr>
      </w:pPr>
    </w:p>
    <w:p>
      <w:pPr>
        <w:pStyle w:val="ListParagraph"/>
        <w:numPr>
          <w:ilvl w:val="1"/>
          <w:numId w:val="1"/>
        </w:numPr>
        <w:tabs>
          <w:tab w:pos="1525" w:val="left" w:leader="none"/>
        </w:tabs>
        <w:spacing w:line="369" w:lineRule="auto" w:before="0" w:after="0"/>
        <w:ind w:left="1524" w:right="148" w:hanging="337"/>
        <w:jc w:val="both"/>
        <w:rPr>
          <w:sz w:val="22"/>
        </w:rPr>
      </w:pPr>
      <w:r>
        <w:rPr>
          <w:sz w:val="22"/>
        </w:rPr>
        <w:t>to make all necessary governmental and other contacts including liaison with regional and international institutions located in Africa.</w:t>
      </w:r>
    </w:p>
    <w:p>
      <w:pPr>
        <w:pStyle w:val="BodyText"/>
        <w:spacing w:before="7"/>
        <w:rPr>
          <w:sz w:val="33"/>
        </w:rPr>
      </w:pPr>
    </w:p>
    <w:p>
      <w:pPr>
        <w:pStyle w:val="ListParagraph"/>
        <w:numPr>
          <w:ilvl w:val="1"/>
          <w:numId w:val="1"/>
        </w:numPr>
        <w:tabs>
          <w:tab w:pos="1525" w:val="left" w:leader="none"/>
        </w:tabs>
        <w:spacing w:line="369" w:lineRule="auto" w:before="0" w:after="0"/>
        <w:ind w:left="1524" w:right="137" w:hanging="336"/>
        <w:jc w:val="both"/>
        <w:rPr>
          <w:sz w:val="22"/>
        </w:rPr>
      </w:pPr>
      <w:r>
        <w:rPr>
          <w:sz w:val="22"/>
        </w:rPr>
        <w:t>to</w:t>
      </w:r>
      <w:r>
        <w:rPr>
          <w:spacing w:val="40"/>
          <w:sz w:val="22"/>
        </w:rPr>
        <w:t> </w:t>
      </w:r>
      <w:r>
        <w:rPr>
          <w:sz w:val="22"/>
        </w:rPr>
        <w:t>carry</w:t>
      </w:r>
      <w:r>
        <w:rPr>
          <w:spacing w:val="40"/>
          <w:sz w:val="22"/>
        </w:rPr>
        <w:t> </w:t>
      </w:r>
      <w:r>
        <w:rPr>
          <w:sz w:val="22"/>
        </w:rPr>
        <w:t>out</w:t>
      </w:r>
      <w:r>
        <w:rPr>
          <w:spacing w:val="40"/>
          <w:sz w:val="22"/>
        </w:rPr>
        <w:t> </w:t>
      </w:r>
      <w:r>
        <w:rPr>
          <w:sz w:val="22"/>
        </w:rPr>
        <w:t>studies</w:t>
      </w:r>
      <w:r>
        <w:rPr>
          <w:spacing w:val="40"/>
          <w:sz w:val="22"/>
        </w:rPr>
        <w:t> </w:t>
      </w:r>
      <w:r>
        <w:rPr>
          <w:sz w:val="22"/>
        </w:rPr>
        <w:t>on</w:t>
      </w:r>
      <w:r>
        <w:rPr>
          <w:spacing w:val="40"/>
          <w:sz w:val="22"/>
        </w:rPr>
        <w:t> </w:t>
      </w:r>
      <w:r>
        <w:rPr>
          <w:sz w:val="22"/>
        </w:rPr>
        <w:t>the</w:t>
      </w:r>
      <w:r>
        <w:rPr>
          <w:spacing w:val="40"/>
          <w:sz w:val="22"/>
        </w:rPr>
        <w:t> </w:t>
      </w:r>
      <w:r>
        <w:rPr>
          <w:sz w:val="22"/>
        </w:rPr>
        <w:t>scope</w:t>
      </w:r>
      <w:r>
        <w:rPr>
          <w:spacing w:val="40"/>
          <w:sz w:val="22"/>
        </w:rPr>
        <w:t> </w:t>
      </w:r>
      <w:r>
        <w:rPr>
          <w:sz w:val="22"/>
        </w:rPr>
        <w:t>and</w:t>
      </w:r>
      <w:r>
        <w:rPr>
          <w:spacing w:val="40"/>
          <w:sz w:val="22"/>
        </w:rPr>
        <w:t> </w:t>
      </w:r>
      <w:r>
        <w:rPr>
          <w:sz w:val="22"/>
        </w:rPr>
        <w:t>functions</w:t>
      </w:r>
      <w:r>
        <w:rPr>
          <w:spacing w:val="40"/>
          <w:sz w:val="22"/>
        </w:rPr>
        <w:t> </w:t>
      </w:r>
      <w:r>
        <w:rPr>
          <w:sz w:val="22"/>
        </w:rPr>
        <w:t>of</w:t>
      </w:r>
      <w:r>
        <w:rPr>
          <w:spacing w:val="40"/>
          <w:sz w:val="22"/>
        </w:rPr>
        <w:t> </w:t>
      </w:r>
      <w:r>
        <w:rPr>
          <w:sz w:val="22"/>
        </w:rPr>
        <w:t>the</w:t>
      </w:r>
      <w:r>
        <w:rPr>
          <w:spacing w:val="40"/>
          <w:sz w:val="22"/>
        </w:rPr>
        <w:t> </w:t>
      </w:r>
      <w:r>
        <w:rPr>
          <w:sz w:val="22"/>
        </w:rPr>
        <w:t>proposed</w:t>
      </w:r>
      <w:r>
        <w:rPr>
          <w:spacing w:val="40"/>
          <w:sz w:val="22"/>
        </w:rPr>
        <w:t> </w:t>
      </w:r>
      <w:r>
        <w:rPr>
          <w:sz w:val="22"/>
        </w:rPr>
        <w:t>Inter</w:t>
      </w:r>
      <w:r>
        <w:rPr>
          <w:spacing w:val="-14"/>
          <w:sz w:val="22"/>
        </w:rPr>
        <w:t> </w:t>
      </w:r>
      <w:r>
        <w:rPr>
          <w:sz w:val="22"/>
        </w:rPr>
        <w:t>- Ministerial Committee including its terms of reference and to submit a comprehensive report on its studies to the Administrative Secretary-General of the OAU by October 1975.</w:t>
      </w:r>
    </w:p>
    <w:p>
      <w:pPr>
        <w:pStyle w:val="BodyText"/>
        <w:rPr>
          <w:sz w:val="34"/>
        </w:rPr>
      </w:pPr>
    </w:p>
    <w:p>
      <w:pPr>
        <w:pStyle w:val="ListParagraph"/>
        <w:numPr>
          <w:ilvl w:val="0"/>
          <w:numId w:val="1"/>
        </w:numPr>
        <w:tabs>
          <w:tab w:pos="1189" w:val="left" w:leader="none"/>
        </w:tabs>
        <w:spacing w:line="367" w:lineRule="auto" w:before="0" w:after="0"/>
        <w:ind w:left="1188" w:right="135" w:hanging="341"/>
        <w:jc w:val="both"/>
        <w:rPr>
          <w:sz w:val="22"/>
        </w:rPr>
      </w:pPr>
      <w:r>
        <w:rPr>
          <w:b/>
          <w:sz w:val="22"/>
        </w:rPr>
        <w:t>REQUESTS </w:t>
      </w:r>
      <w:r>
        <w:rPr>
          <w:sz w:val="22"/>
        </w:rPr>
        <w:t>the OAU Administrative Secretary-General to convene, in</w:t>
      </w:r>
      <w:r>
        <w:rPr>
          <w:spacing w:val="40"/>
          <w:sz w:val="22"/>
        </w:rPr>
        <w:t> </w:t>
      </w:r>
      <w:r>
        <w:rPr>
          <w:sz w:val="22"/>
        </w:rPr>
        <w:t>consultation with the Working Party, ECA and FAO, a conference of National Ministers of Agriculture before the end of 1975 for the formal launching of the African Inter-Ministerial Committee;</w:t>
      </w:r>
    </w:p>
    <w:p>
      <w:pPr>
        <w:pStyle w:val="BodyText"/>
        <w:spacing w:before="5"/>
        <w:rPr>
          <w:sz w:val="34"/>
        </w:rPr>
      </w:pPr>
    </w:p>
    <w:p>
      <w:pPr>
        <w:pStyle w:val="ListParagraph"/>
        <w:numPr>
          <w:ilvl w:val="0"/>
          <w:numId w:val="1"/>
        </w:numPr>
        <w:tabs>
          <w:tab w:pos="1189" w:val="left" w:leader="none"/>
        </w:tabs>
        <w:spacing w:line="369" w:lineRule="auto" w:before="0" w:after="0"/>
        <w:ind w:left="1188" w:right="140" w:hanging="341"/>
        <w:jc w:val="both"/>
        <w:rPr>
          <w:sz w:val="22"/>
        </w:rPr>
      </w:pPr>
      <w:r>
        <w:rPr>
          <w:b/>
          <w:sz w:val="22"/>
        </w:rPr>
        <w:t>REQUESTS </w:t>
      </w:r>
      <w:r>
        <w:rPr>
          <w:sz w:val="22"/>
        </w:rPr>
        <w:t>the OAU Administrative Secretary-General to submit a full report about the Working Party and the Inter-Ministerial Committee to the Council of Ministers meeting in February 1976.</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23999pt;margin-top:34.068241pt;width:100.6pt;height:14.5pt;mso-position-horizontal-relative:page;mso-position-vertical-relative:page;z-index:-15761920" type="#_x0000_t202" id="docshape1" filled="false" stroked="false">
          <v:textbox inset="0,0,0,0">
            <w:txbxContent>
              <w:p>
                <w:pPr>
                  <w:pStyle w:val="BodyText"/>
                  <w:spacing w:before="15"/>
                  <w:ind w:left="20"/>
                </w:pPr>
                <w:r>
                  <w:rPr/>
                  <w:t>CM/Res.</w:t>
                </w:r>
                <w:r>
                  <w:rPr>
                    <w:spacing w:val="12"/>
                  </w:rPr>
                  <w:t> </w:t>
                </w:r>
                <w:r>
                  <w:rPr/>
                  <w:t>413</w:t>
                </w:r>
                <w:r>
                  <w:rPr>
                    <w:spacing w:val="13"/>
                  </w:rPr>
                  <w:t> </w:t>
                </w:r>
                <w:r>
                  <w:rPr>
                    <w:spacing w:val="-2"/>
                  </w:rPr>
                  <w:t>(XXIV)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1524" w:hanging="336"/>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336"/>
      </w:pPr>
      <w:rPr>
        <w:rFonts w:hint="default"/>
        <w:lang w:val="en-US" w:eastAsia="en-US" w:bidi="ar-SA"/>
      </w:rPr>
    </w:lvl>
    <w:lvl w:ilvl="3">
      <w:start w:val="0"/>
      <w:numFmt w:val="bullet"/>
      <w:lvlText w:val="•"/>
      <w:lvlJc w:val="left"/>
      <w:pPr>
        <w:ind w:left="3137" w:hanging="336"/>
      </w:pPr>
      <w:rPr>
        <w:rFonts w:hint="default"/>
        <w:lang w:val="en-US" w:eastAsia="en-US" w:bidi="ar-SA"/>
      </w:rPr>
    </w:lvl>
    <w:lvl w:ilvl="4">
      <w:start w:val="0"/>
      <w:numFmt w:val="bullet"/>
      <w:lvlText w:val="•"/>
      <w:lvlJc w:val="left"/>
      <w:pPr>
        <w:ind w:left="3946" w:hanging="336"/>
      </w:pPr>
      <w:rPr>
        <w:rFonts w:hint="default"/>
        <w:lang w:val="en-US" w:eastAsia="en-US" w:bidi="ar-SA"/>
      </w:rPr>
    </w:lvl>
    <w:lvl w:ilvl="5">
      <w:start w:val="0"/>
      <w:numFmt w:val="bullet"/>
      <w:lvlText w:val="•"/>
      <w:lvlJc w:val="left"/>
      <w:pPr>
        <w:ind w:left="4755" w:hanging="336"/>
      </w:pPr>
      <w:rPr>
        <w:rFonts w:hint="default"/>
        <w:lang w:val="en-US" w:eastAsia="en-US" w:bidi="ar-SA"/>
      </w:rPr>
    </w:lvl>
    <w:lvl w:ilvl="6">
      <w:start w:val="0"/>
      <w:numFmt w:val="bullet"/>
      <w:lvlText w:val="•"/>
      <w:lvlJc w:val="left"/>
      <w:pPr>
        <w:ind w:left="5564" w:hanging="336"/>
      </w:pPr>
      <w:rPr>
        <w:rFonts w:hint="default"/>
        <w:lang w:val="en-US" w:eastAsia="en-US" w:bidi="ar-SA"/>
      </w:rPr>
    </w:lvl>
    <w:lvl w:ilvl="7">
      <w:start w:val="0"/>
      <w:numFmt w:val="bullet"/>
      <w:lvlText w:val="•"/>
      <w:lvlJc w:val="left"/>
      <w:pPr>
        <w:ind w:left="6373" w:hanging="336"/>
      </w:pPr>
      <w:rPr>
        <w:rFonts w:hint="default"/>
        <w:lang w:val="en-US" w:eastAsia="en-US" w:bidi="ar-SA"/>
      </w:rPr>
    </w:lvl>
    <w:lvl w:ilvl="8">
      <w:start w:val="0"/>
      <w:numFmt w:val="bullet"/>
      <w:lvlText w:val="•"/>
      <w:lvlJc w:val="left"/>
      <w:pPr>
        <w:ind w:left="7182"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586" w:right="554"/>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37"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2023-06-07T08:46:11Z</dcterms:created>
  <dcterms:modified xsi:type="dcterms:W3CDTF">2023-06-07T08:46:11Z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