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9"/>
        </w:rPr>
        <w:t> </w:t>
      </w:r>
      <w:r>
        <w:rPr/>
        <w:t>423</w:t>
      </w:r>
      <w:r>
        <w:rPr>
          <w:spacing w:val="10"/>
        </w:rPr>
        <w:t> </w:t>
      </w:r>
      <w:r>
        <w:rPr>
          <w:spacing w:val="-2"/>
        </w:rPr>
        <w:t>(XXV)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DECISION ON THE REPORT OF THE OAU</w:t>
      </w:r>
      <w:r>
        <w:rPr>
          <w:u w:val="none"/>
        </w:rPr>
        <w:t> </w:t>
      </w:r>
      <w:r>
        <w:rPr>
          <w:u w:val="single"/>
        </w:rPr>
        <w:t>ADMINISTRATIVE SECRETARY-GENERAL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37" w:firstLine="676"/>
        <w:jc w:val="both"/>
      </w:pPr>
      <w:r>
        <w:rPr/>
        <w:t>The Council of Ministers of the Organization of African Unity, meeting in its Twenty- Fifth Ordinary Session in Kampala, Uganda, from 18 to 25 July 1975,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36" w:firstLine="676"/>
        <w:jc w:val="both"/>
      </w:pPr>
      <w:r>
        <w:rPr>
          <w:b/>
          <w:u w:val="single"/>
        </w:rPr>
        <w:t>Having heard</w:t>
      </w:r>
      <w:r>
        <w:rPr>
          <w:b/>
          <w:spacing w:val="32"/>
        </w:rPr>
        <w:t> </w:t>
      </w:r>
      <w:r>
        <w:rPr/>
        <w:t>the introduction to the Report of the Administrative Secretary-General</w:t>
      </w:r>
      <w:r>
        <w:rPr>
          <w:spacing w:val="80"/>
        </w:rPr>
        <w:t> </w:t>
      </w:r>
      <w:r>
        <w:rPr/>
        <w:t>of the Organization of African Unity covering the period from February to June 1975</w:t>
      </w:r>
      <w:r>
        <w:rPr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CM/653 (PART I and II).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1" w:hanging="341"/>
        <w:jc w:val="left"/>
        <w:rPr>
          <w:sz w:val="22"/>
        </w:rPr>
      </w:pPr>
      <w:r>
        <w:rPr>
          <w:b/>
          <w:sz w:val="22"/>
        </w:rPr>
        <w:t>CONGRATULATES</w:t>
      </w:r>
      <w:r>
        <w:rPr>
          <w:b/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80"/>
          <w:sz w:val="22"/>
        </w:rPr>
        <w:t> </w:t>
      </w:r>
      <w:r>
        <w:rPr>
          <w:sz w:val="22"/>
        </w:rPr>
        <w:t>Administrative</w:t>
      </w:r>
      <w:r>
        <w:rPr>
          <w:spacing w:val="80"/>
          <w:sz w:val="22"/>
        </w:rPr>
        <w:t> </w:t>
      </w:r>
      <w:r>
        <w:rPr>
          <w:sz w:val="22"/>
        </w:rPr>
        <w:t>Secretary-General</w:t>
      </w:r>
      <w:r>
        <w:rPr>
          <w:spacing w:val="80"/>
          <w:sz w:val="22"/>
        </w:rPr>
        <w:t> </w:t>
      </w:r>
      <w:r>
        <w:rPr>
          <w:sz w:val="22"/>
        </w:rPr>
        <w:t>on</w:t>
      </w:r>
      <w:r>
        <w:rPr>
          <w:spacing w:val="80"/>
          <w:sz w:val="22"/>
        </w:rPr>
        <w:t> </w:t>
      </w:r>
      <w:r>
        <w:rPr>
          <w:sz w:val="22"/>
        </w:rPr>
        <w:t>his</w:t>
      </w:r>
      <w:r>
        <w:rPr>
          <w:spacing w:val="80"/>
          <w:sz w:val="22"/>
        </w:rPr>
        <w:t> </w:t>
      </w:r>
      <w:r>
        <w:rPr>
          <w:sz w:val="22"/>
        </w:rPr>
        <w:t>clear</w:t>
      </w:r>
      <w:r>
        <w:rPr>
          <w:spacing w:val="80"/>
          <w:sz w:val="22"/>
        </w:rPr>
        <w:t> </w:t>
      </w:r>
      <w:r>
        <w:rPr>
          <w:sz w:val="22"/>
        </w:rPr>
        <w:t>and comprehensive report.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137" w:hanging="341"/>
        <w:jc w:val="left"/>
        <w:rPr>
          <w:sz w:val="22"/>
        </w:rPr>
      </w:pPr>
      <w:r>
        <w:rPr>
          <w:b/>
          <w:sz w:val="22"/>
        </w:rPr>
        <w:t>TAKES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satisfaction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report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 General contained in Document CM/653 (PART. I and II).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091" w:right="284" w:firstLine="76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37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2023-06-07T08:46:37Z</dcterms:created>
  <dcterms:modified xsi:type="dcterms:W3CDTF">2023-06-07T08:46:37Z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