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1"/>
        <w:jc w:val="right"/>
      </w:pPr>
      <w:r>
        <w:rPr/>
        <w:t>CM/Res.</w:t>
      </w:r>
      <w:r>
        <w:rPr>
          <w:spacing w:val="8"/>
        </w:rPr>
        <w:t> </w:t>
      </w:r>
      <w:r>
        <w:rPr/>
        <w:t>429</w:t>
      </w:r>
      <w:r>
        <w:rPr>
          <w:spacing w:val="10"/>
        </w:rPr>
        <w:t> </w:t>
      </w:r>
      <w:r>
        <w:rPr>
          <w:spacing w:val="-4"/>
        </w:rPr>
        <w:t>(XXV)</w:t>
      </w:r>
    </w:p>
    <w:p>
      <w:pPr>
        <w:pStyle w:val="BodyText"/>
        <w:spacing w:before="10"/>
        <w:rPr>
          <w:sz w:val="26"/>
        </w:rPr>
      </w:pPr>
    </w:p>
    <w:p>
      <w:pPr>
        <w:pStyle w:val="Title"/>
        <w:rPr>
          <w:u w:val="none"/>
        </w:rPr>
      </w:pPr>
      <w:r>
        <w:rPr>
          <w:u w:val="single"/>
        </w:rPr>
        <w:t>RESOLUTION</w:t>
      </w:r>
      <w:r>
        <w:rPr>
          <w:spacing w:val="11"/>
          <w:u w:val="single"/>
        </w:rPr>
        <w:t> </w:t>
      </w:r>
      <w:r>
        <w:rPr>
          <w:u w:val="single"/>
        </w:rPr>
        <w:t>ON</w:t>
      </w:r>
      <w:r>
        <w:rPr>
          <w:spacing w:val="15"/>
          <w:u w:val="single"/>
        </w:rPr>
        <w:t> </w:t>
      </w:r>
      <w:r>
        <w:rPr>
          <w:spacing w:val="-2"/>
          <w:u w:val="single"/>
        </w:rPr>
        <w:t>ZIMBABWE</w:t>
      </w:r>
    </w:p>
    <w:p>
      <w:pPr>
        <w:pStyle w:val="BodyText"/>
        <w:rPr>
          <w:b/>
          <w:sz w:val="20"/>
        </w:rPr>
      </w:pPr>
    </w:p>
    <w:p>
      <w:pPr>
        <w:pStyle w:val="BodyText"/>
        <w:spacing w:before="10"/>
        <w:rPr>
          <w:b/>
          <w:sz w:val="16"/>
        </w:rPr>
      </w:pPr>
    </w:p>
    <w:p>
      <w:pPr>
        <w:pStyle w:val="BodyText"/>
        <w:spacing w:line="364" w:lineRule="auto" w:before="96"/>
        <w:ind w:left="171" w:right="137" w:firstLine="676"/>
        <w:jc w:val="both"/>
      </w:pPr>
      <w:r>
        <w:rPr/>
        <w:t>The Council of Ministers of the Organization of African Unity, meeting in its Twenty- Fifth Ordinary Session in Kampala, Uganda, from 18 to 25 July 1975,</w:t>
      </w:r>
    </w:p>
    <w:p>
      <w:pPr>
        <w:pStyle w:val="BodyText"/>
        <w:spacing w:before="6"/>
        <w:rPr>
          <w:sz w:val="34"/>
        </w:rPr>
      </w:pPr>
    </w:p>
    <w:p>
      <w:pPr>
        <w:pStyle w:val="BodyText"/>
        <w:spacing w:line="369" w:lineRule="auto" w:before="1"/>
        <w:ind w:left="171" w:right="147" w:firstLine="676"/>
        <w:jc w:val="both"/>
      </w:pPr>
      <w:r>
        <w:rPr>
          <w:b/>
          <w:u w:val="single"/>
        </w:rPr>
        <w:t>Noting</w:t>
      </w:r>
      <w:r>
        <w:rPr>
          <w:b/>
          <w:spacing w:val="40"/>
          <w:u w:val="single"/>
        </w:rPr>
        <w:t> </w:t>
      </w:r>
      <w:r>
        <w:rPr>
          <w:b/>
          <w:u w:val="single"/>
        </w:rPr>
        <w:t>that</w:t>
      </w:r>
      <w:r>
        <w:rPr>
          <w:b/>
          <w:spacing w:val="40"/>
        </w:rPr>
        <w:t> </w:t>
      </w:r>
      <w:r>
        <w:rPr/>
        <w:t>the</w:t>
      </w:r>
      <w:r>
        <w:rPr>
          <w:spacing w:val="40"/>
        </w:rPr>
        <w:t> </w:t>
      </w:r>
      <w:r>
        <w:rPr/>
        <w:t>minority</w:t>
      </w:r>
      <w:r>
        <w:rPr>
          <w:spacing w:val="40"/>
        </w:rPr>
        <w:t> </w:t>
      </w:r>
      <w:r>
        <w:rPr/>
        <w:t>regime</w:t>
      </w:r>
      <w:r>
        <w:rPr>
          <w:spacing w:val="40"/>
        </w:rPr>
        <w:t> </w:t>
      </w:r>
      <w:r>
        <w:rPr/>
        <w:t>of</w:t>
      </w:r>
      <w:r>
        <w:rPr>
          <w:spacing w:val="40"/>
        </w:rPr>
        <w:t> </w:t>
      </w:r>
      <w:r>
        <w:rPr/>
        <w:t>Ian</w:t>
      </w:r>
      <w:r>
        <w:rPr>
          <w:spacing w:val="40"/>
        </w:rPr>
        <w:t> </w:t>
      </w:r>
      <w:r>
        <w:rPr/>
        <w:t>Smith</w:t>
      </w:r>
      <w:r>
        <w:rPr>
          <w:spacing w:val="40"/>
        </w:rPr>
        <w:t> </w:t>
      </w:r>
      <w:r>
        <w:rPr/>
        <w:t>and</w:t>
      </w:r>
      <w:r>
        <w:rPr>
          <w:spacing w:val="40"/>
        </w:rPr>
        <w:t> </w:t>
      </w:r>
      <w:r>
        <w:rPr/>
        <w:t>the</w:t>
      </w:r>
      <w:r>
        <w:rPr>
          <w:spacing w:val="40"/>
        </w:rPr>
        <w:t> </w:t>
      </w:r>
      <w:r>
        <w:rPr/>
        <w:t>British</w:t>
      </w:r>
      <w:r>
        <w:rPr>
          <w:spacing w:val="40"/>
        </w:rPr>
        <w:t> </w:t>
      </w:r>
      <w:r>
        <w:rPr/>
        <w:t>Government</w:t>
      </w:r>
      <w:r>
        <w:rPr>
          <w:spacing w:val="40"/>
        </w:rPr>
        <w:t> </w:t>
      </w:r>
      <w:r>
        <w:rPr/>
        <w:t>have proved that they have no serious intention to resolve the Rhodesian problem through constitutional discussions but that on the contrary, the Smith regime is stepping up its efforts toward total war and further aggression on the African people of Zimbabwe,</w:t>
      </w:r>
    </w:p>
    <w:p>
      <w:pPr>
        <w:pStyle w:val="BodyText"/>
        <w:spacing w:before="6"/>
        <w:rPr>
          <w:sz w:val="33"/>
        </w:rPr>
      </w:pPr>
    </w:p>
    <w:p>
      <w:pPr>
        <w:pStyle w:val="BodyText"/>
        <w:spacing w:line="372" w:lineRule="auto"/>
        <w:ind w:left="171" w:right="157" w:firstLine="676"/>
        <w:jc w:val="both"/>
      </w:pPr>
      <w:r>
        <w:rPr>
          <w:b/>
          <w:u w:val="single"/>
        </w:rPr>
        <w:t>Considering that</w:t>
      </w:r>
      <w:r>
        <w:rPr>
          <w:b/>
        </w:rPr>
        <w:t> </w:t>
      </w:r>
      <w:r>
        <w:rPr/>
        <w:t>Vorster’s détente manoeuvres on Rhodesia are a transparent trick to frustrate majority rule and to disarm the freedom fighters as a way of gaining time for the</w:t>
      </w:r>
      <w:r>
        <w:rPr>
          <w:spacing w:val="80"/>
        </w:rPr>
        <w:t> </w:t>
      </w:r>
      <w:r>
        <w:rPr/>
        <w:t>Smith regime to reinforce and consolidate its forces of oppression for the further aggression,</w:t>
      </w:r>
    </w:p>
    <w:p>
      <w:pPr>
        <w:pStyle w:val="BodyText"/>
        <w:spacing w:before="10"/>
        <w:rPr>
          <w:sz w:val="32"/>
        </w:rPr>
      </w:pPr>
    </w:p>
    <w:p>
      <w:pPr>
        <w:pStyle w:val="BodyText"/>
        <w:spacing w:before="1"/>
        <w:ind w:left="848"/>
      </w:pPr>
      <w:r>
        <w:rPr>
          <w:b/>
          <w:u w:val="single"/>
        </w:rPr>
        <w:t>Welcoming</w:t>
      </w:r>
      <w:r>
        <w:rPr>
          <w:b/>
          <w:spacing w:val="2"/>
        </w:rPr>
        <w:t> </w:t>
      </w:r>
      <w:r>
        <w:rPr/>
        <w:t>the</w:t>
      </w:r>
      <w:r>
        <w:rPr>
          <w:spacing w:val="2"/>
        </w:rPr>
        <w:t> </w:t>
      </w:r>
      <w:r>
        <w:rPr/>
        <w:t>unity</w:t>
      </w:r>
      <w:r>
        <w:rPr>
          <w:spacing w:val="1"/>
        </w:rPr>
        <w:t> </w:t>
      </w:r>
      <w:r>
        <w:rPr/>
        <w:t>of</w:t>
      </w:r>
      <w:r>
        <w:rPr>
          <w:spacing w:val="1"/>
        </w:rPr>
        <w:t> </w:t>
      </w:r>
      <w:r>
        <w:rPr/>
        <w:t>the</w:t>
      </w:r>
      <w:r>
        <w:rPr>
          <w:spacing w:val="1"/>
        </w:rPr>
        <w:t> </w:t>
      </w:r>
      <w:r>
        <w:rPr/>
        <w:t>people</w:t>
      </w:r>
      <w:r>
        <w:rPr>
          <w:spacing w:val="2"/>
        </w:rPr>
        <w:t> </w:t>
      </w:r>
      <w:r>
        <w:rPr/>
        <w:t>of</w:t>
      </w:r>
      <w:r>
        <w:rPr>
          <w:spacing w:val="1"/>
        </w:rPr>
        <w:t> </w:t>
      </w:r>
      <w:r>
        <w:rPr/>
        <w:t>Zimbabwe</w:t>
      </w:r>
      <w:r>
        <w:rPr>
          <w:spacing w:val="2"/>
        </w:rPr>
        <w:t> </w:t>
      </w:r>
      <w:r>
        <w:rPr/>
        <w:t>under</w:t>
      </w:r>
      <w:r>
        <w:rPr>
          <w:spacing w:val="1"/>
        </w:rPr>
        <w:t> </w:t>
      </w:r>
      <w:r>
        <w:rPr/>
        <w:t>the</w:t>
      </w:r>
      <w:r>
        <w:rPr>
          <w:spacing w:val="2"/>
        </w:rPr>
        <w:t> </w:t>
      </w:r>
      <w:r>
        <w:rPr>
          <w:spacing w:val="-4"/>
        </w:rPr>
        <w:t>ANC,</w:t>
      </w:r>
    </w:p>
    <w:p>
      <w:pPr>
        <w:pStyle w:val="BodyText"/>
        <w:rPr>
          <w:sz w:val="24"/>
        </w:rPr>
      </w:pPr>
    </w:p>
    <w:p>
      <w:pPr>
        <w:pStyle w:val="BodyText"/>
      </w:pPr>
    </w:p>
    <w:p>
      <w:pPr>
        <w:spacing w:before="0"/>
        <w:ind w:left="847" w:right="0" w:firstLine="0"/>
        <w:jc w:val="left"/>
        <w:rPr>
          <w:sz w:val="22"/>
        </w:rPr>
      </w:pPr>
      <w:r>
        <w:rPr>
          <w:b/>
          <w:sz w:val="22"/>
          <w:u w:val="single"/>
        </w:rPr>
        <w:t>CALLS</w:t>
      </w:r>
      <w:r>
        <w:rPr>
          <w:b/>
          <w:spacing w:val="4"/>
          <w:sz w:val="22"/>
          <w:u w:val="single"/>
        </w:rPr>
        <w:t> </w:t>
      </w:r>
      <w:r>
        <w:rPr>
          <w:b/>
          <w:sz w:val="22"/>
          <w:u w:val="single"/>
        </w:rPr>
        <w:t>UPON</w:t>
      </w:r>
      <w:r>
        <w:rPr>
          <w:b/>
          <w:spacing w:val="7"/>
          <w:sz w:val="22"/>
        </w:rPr>
        <w:t> </w:t>
      </w:r>
      <w:r>
        <w:rPr>
          <w:sz w:val="22"/>
        </w:rPr>
        <w:t>the</w:t>
      </w:r>
      <w:r>
        <w:rPr>
          <w:spacing w:val="4"/>
          <w:sz w:val="22"/>
        </w:rPr>
        <w:t> </w:t>
      </w:r>
      <w:r>
        <w:rPr>
          <w:sz w:val="22"/>
        </w:rPr>
        <w:t>people</w:t>
      </w:r>
      <w:r>
        <w:rPr>
          <w:spacing w:val="4"/>
          <w:sz w:val="22"/>
        </w:rPr>
        <w:t> </w:t>
      </w:r>
      <w:r>
        <w:rPr>
          <w:sz w:val="22"/>
        </w:rPr>
        <w:t>of</w:t>
      </w:r>
      <w:r>
        <w:rPr>
          <w:spacing w:val="4"/>
          <w:sz w:val="22"/>
        </w:rPr>
        <w:t> </w:t>
      </w:r>
      <w:r>
        <w:rPr>
          <w:spacing w:val="-2"/>
          <w:sz w:val="22"/>
        </w:rPr>
        <w:t>Zimbabwe:</w:t>
      </w:r>
    </w:p>
    <w:p>
      <w:pPr>
        <w:pStyle w:val="BodyText"/>
        <w:rPr>
          <w:sz w:val="24"/>
        </w:rPr>
      </w:pPr>
    </w:p>
    <w:p>
      <w:pPr>
        <w:pStyle w:val="BodyText"/>
        <w:spacing w:before="7"/>
        <w:rPr>
          <w:sz w:val="21"/>
        </w:rPr>
      </w:pPr>
    </w:p>
    <w:p>
      <w:pPr>
        <w:pStyle w:val="ListParagraph"/>
        <w:numPr>
          <w:ilvl w:val="0"/>
          <w:numId w:val="1"/>
        </w:numPr>
        <w:tabs>
          <w:tab w:pos="1189" w:val="left" w:leader="none"/>
        </w:tabs>
        <w:spacing w:line="369" w:lineRule="auto" w:before="0" w:after="0"/>
        <w:ind w:left="1188" w:right="150" w:hanging="341"/>
        <w:jc w:val="both"/>
        <w:rPr>
          <w:sz w:val="22"/>
        </w:rPr>
      </w:pPr>
      <w:r>
        <w:rPr>
          <w:b/>
          <w:sz w:val="22"/>
          <w:u w:val="single"/>
        </w:rPr>
        <w:t>To</w:t>
      </w:r>
      <w:r>
        <w:rPr>
          <w:b/>
          <w:spacing w:val="35"/>
          <w:sz w:val="22"/>
          <w:u w:val="single"/>
        </w:rPr>
        <w:t> </w:t>
      </w:r>
      <w:r>
        <w:rPr>
          <w:b/>
          <w:sz w:val="22"/>
          <w:u w:val="single"/>
        </w:rPr>
        <w:t>consolidate</w:t>
      </w:r>
      <w:r>
        <w:rPr>
          <w:b/>
          <w:spacing w:val="33"/>
          <w:sz w:val="22"/>
        </w:rPr>
        <w:t> </w:t>
      </w:r>
      <w:r>
        <w:rPr>
          <w:sz w:val="22"/>
        </w:rPr>
        <w:t>their</w:t>
      </w:r>
      <w:r>
        <w:rPr>
          <w:spacing w:val="28"/>
          <w:sz w:val="22"/>
        </w:rPr>
        <w:t> </w:t>
      </w:r>
      <w:r>
        <w:rPr>
          <w:sz w:val="22"/>
        </w:rPr>
        <w:t>unity</w:t>
      </w:r>
      <w:r>
        <w:rPr>
          <w:spacing w:val="27"/>
          <w:sz w:val="22"/>
        </w:rPr>
        <w:t> </w:t>
      </w:r>
      <w:r>
        <w:rPr>
          <w:sz w:val="22"/>
        </w:rPr>
        <w:t>and</w:t>
      </w:r>
      <w:r>
        <w:rPr>
          <w:spacing w:val="29"/>
          <w:sz w:val="22"/>
        </w:rPr>
        <w:t> </w:t>
      </w:r>
      <w:r>
        <w:rPr>
          <w:sz w:val="22"/>
        </w:rPr>
        <w:t>make</w:t>
      </w:r>
      <w:r>
        <w:rPr>
          <w:spacing w:val="28"/>
          <w:sz w:val="22"/>
        </w:rPr>
        <w:t> </w:t>
      </w:r>
      <w:r>
        <w:rPr>
          <w:sz w:val="22"/>
        </w:rPr>
        <w:t>it</w:t>
      </w:r>
      <w:r>
        <w:rPr>
          <w:spacing w:val="27"/>
          <w:sz w:val="22"/>
        </w:rPr>
        <w:t> </w:t>
      </w:r>
      <w:r>
        <w:rPr>
          <w:sz w:val="22"/>
        </w:rPr>
        <w:t>a</w:t>
      </w:r>
      <w:r>
        <w:rPr>
          <w:spacing w:val="28"/>
          <w:sz w:val="22"/>
        </w:rPr>
        <w:t> </w:t>
      </w:r>
      <w:r>
        <w:rPr>
          <w:sz w:val="22"/>
        </w:rPr>
        <w:t>forceful</w:t>
      </w:r>
      <w:r>
        <w:rPr>
          <w:spacing w:val="27"/>
          <w:sz w:val="22"/>
        </w:rPr>
        <w:t> </w:t>
      </w:r>
      <w:r>
        <w:rPr>
          <w:sz w:val="22"/>
        </w:rPr>
        <w:t>and</w:t>
      </w:r>
      <w:r>
        <w:rPr>
          <w:spacing w:val="29"/>
          <w:sz w:val="22"/>
        </w:rPr>
        <w:t> </w:t>
      </w:r>
      <w:r>
        <w:rPr>
          <w:sz w:val="22"/>
        </w:rPr>
        <w:t>an</w:t>
      </w:r>
      <w:r>
        <w:rPr>
          <w:spacing w:val="27"/>
          <w:sz w:val="22"/>
        </w:rPr>
        <w:t> </w:t>
      </w:r>
      <w:r>
        <w:rPr>
          <w:sz w:val="22"/>
        </w:rPr>
        <w:t>unassailable</w:t>
      </w:r>
      <w:r>
        <w:rPr>
          <w:spacing w:val="28"/>
          <w:sz w:val="22"/>
        </w:rPr>
        <w:t> </w:t>
      </w:r>
      <w:r>
        <w:rPr>
          <w:sz w:val="22"/>
        </w:rPr>
        <w:t>instrument for their liberation;</w:t>
      </w:r>
    </w:p>
    <w:p>
      <w:pPr>
        <w:pStyle w:val="BodyText"/>
        <w:spacing w:before="8"/>
        <w:rPr>
          <w:sz w:val="33"/>
        </w:rPr>
      </w:pPr>
    </w:p>
    <w:p>
      <w:pPr>
        <w:pStyle w:val="ListParagraph"/>
        <w:numPr>
          <w:ilvl w:val="0"/>
          <w:numId w:val="1"/>
        </w:numPr>
        <w:tabs>
          <w:tab w:pos="1189" w:val="left" w:leader="none"/>
        </w:tabs>
        <w:spacing w:line="369" w:lineRule="auto" w:before="0" w:after="0"/>
        <w:ind w:left="1188" w:right="140" w:hanging="341"/>
        <w:jc w:val="both"/>
        <w:rPr>
          <w:sz w:val="22"/>
        </w:rPr>
      </w:pPr>
      <w:r>
        <w:rPr>
          <w:b/>
          <w:sz w:val="22"/>
          <w:u w:val="single"/>
        </w:rPr>
        <w:t>To</w:t>
      </w:r>
      <w:r>
        <w:rPr>
          <w:b/>
          <w:spacing w:val="40"/>
          <w:sz w:val="22"/>
          <w:u w:val="single"/>
        </w:rPr>
        <w:t> </w:t>
      </w:r>
      <w:r>
        <w:rPr>
          <w:b/>
          <w:sz w:val="22"/>
          <w:u w:val="single"/>
        </w:rPr>
        <w:t>immediately</w:t>
      </w:r>
      <w:r>
        <w:rPr>
          <w:b/>
          <w:spacing w:val="40"/>
          <w:sz w:val="22"/>
          <w:u w:val="single"/>
        </w:rPr>
        <w:t> </w:t>
      </w:r>
      <w:r>
        <w:rPr>
          <w:b/>
          <w:sz w:val="22"/>
          <w:u w:val="single"/>
        </w:rPr>
        <w:t>intensify</w:t>
      </w:r>
      <w:r>
        <w:rPr>
          <w:b/>
          <w:spacing w:val="40"/>
          <w:sz w:val="22"/>
        </w:rPr>
        <w:t> </w:t>
      </w:r>
      <w:r>
        <w:rPr>
          <w:sz w:val="22"/>
        </w:rPr>
        <w:t>their</w:t>
      </w:r>
      <w:r>
        <w:rPr>
          <w:spacing w:val="40"/>
          <w:sz w:val="22"/>
        </w:rPr>
        <w:t> </w:t>
      </w:r>
      <w:r>
        <w:rPr>
          <w:sz w:val="22"/>
        </w:rPr>
        <w:t>armed</w:t>
      </w:r>
      <w:r>
        <w:rPr>
          <w:spacing w:val="40"/>
          <w:sz w:val="22"/>
        </w:rPr>
        <w:t> </w:t>
      </w:r>
      <w:r>
        <w:rPr>
          <w:sz w:val="22"/>
        </w:rPr>
        <w:t>struggle</w:t>
      </w:r>
      <w:r>
        <w:rPr>
          <w:spacing w:val="40"/>
          <w:sz w:val="22"/>
        </w:rPr>
        <w:t> </w:t>
      </w:r>
      <w:r>
        <w:rPr>
          <w:sz w:val="22"/>
        </w:rPr>
        <w:t>and</w:t>
      </w:r>
      <w:r>
        <w:rPr>
          <w:spacing w:val="40"/>
          <w:sz w:val="22"/>
        </w:rPr>
        <w:t> </w:t>
      </w:r>
      <w:r>
        <w:rPr>
          <w:sz w:val="22"/>
        </w:rPr>
        <w:t>consolidate</w:t>
      </w:r>
      <w:r>
        <w:rPr>
          <w:spacing w:val="40"/>
          <w:sz w:val="22"/>
        </w:rPr>
        <w:t> </w:t>
      </w:r>
      <w:r>
        <w:rPr>
          <w:sz w:val="22"/>
        </w:rPr>
        <w:t>the</w:t>
      </w:r>
      <w:r>
        <w:rPr>
          <w:spacing w:val="40"/>
          <w:sz w:val="22"/>
        </w:rPr>
        <w:t> </w:t>
      </w:r>
      <w:r>
        <w:rPr>
          <w:sz w:val="22"/>
        </w:rPr>
        <w:t>gains</w:t>
      </w:r>
      <w:r>
        <w:rPr>
          <w:spacing w:val="40"/>
          <w:sz w:val="22"/>
        </w:rPr>
        <w:t> </w:t>
      </w:r>
      <w:r>
        <w:rPr>
          <w:sz w:val="22"/>
        </w:rPr>
        <w:t>they hare already achieved;</w:t>
      </w:r>
    </w:p>
    <w:p>
      <w:pPr>
        <w:pStyle w:val="BodyText"/>
        <w:spacing w:before="1"/>
        <w:rPr>
          <w:sz w:val="34"/>
        </w:rPr>
      </w:pPr>
    </w:p>
    <w:p>
      <w:pPr>
        <w:pStyle w:val="BodyText"/>
        <w:spacing w:line="364" w:lineRule="auto"/>
        <w:ind w:left="1188"/>
      </w:pPr>
      <w:r>
        <w:rPr>
          <w:b/>
          <w:u w:val="single"/>
        </w:rPr>
        <w:t>further</w:t>
      </w:r>
      <w:r>
        <w:rPr>
          <w:b/>
          <w:spacing w:val="37"/>
          <w:u w:val="single"/>
        </w:rPr>
        <w:t> </w:t>
      </w:r>
      <w:r>
        <w:rPr>
          <w:b/>
          <w:u w:val="single"/>
        </w:rPr>
        <w:t>calls</w:t>
      </w:r>
      <w:r>
        <w:rPr>
          <w:b/>
          <w:spacing w:val="37"/>
          <w:u w:val="single"/>
        </w:rPr>
        <w:t> </w:t>
      </w:r>
      <w:r>
        <w:rPr>
          <w:b/>
          <w:u w:val="single"/>
        </w:rPr>
        <w:t>upon</w:t>
      </w:r>
      <w:r>
        <w:rPr>
          <w:b/>
          <w:spacing w:val="37"/>
        </w:rPr>
        <w:t> </w:t>
      </w:r>
      <w:r>
        <w:rPr/>
        <w:t>all</w:t>
      </w:r>
      <w:r>
        <w:rPr>
          <w:spacing w:val="34"/>
        </w:rPr>
        <w:t> </w:t>
      </w:r>
      <w:r>
        <w:rPr/>
        <w:t>member</w:t>
      </w:r>
      <w:r>
        <w:rPr>
          <w:spacing w:val="34"/>
        </w:rPr>
        <w:t> </w:t>
      </w:r>
      <w:r>
        <w:rPr/>
        <w:t>States</w:t>
      </w:r>
      <w:r>
        <w:rPr>
          <w:spacing w:val="34"/>
        </w:rPr>
        <w:t> </w:t>
      </w:r>
      <w:r>
        <w:rPr/>
        <w:t>of</w:t>
      </w:r>
      <w:r>
        <w:rPr>
          <w:spacing w:val="34"/>
        </w:rPr>
        <w:t> </w:t>
      </w:r>
      <w:r>
        <w:rPr/>
        <w:t>the</w:t>
      </w:r>
      <w:r>
        <w:rPr>
          <w:spacing w:val="34"/>
        </w:rPr>
        <w:t> </w:t>
      </w:r>
      <w:r>
        <w:rPr/>
        <w:t>Organization</w:t>
      </w:r>
      <w:r>
        <w:rPr>
          <w:spacing w:val="34"/>
        </w:rPr>
        <w:t> </w:t>
      </w:r>
      <w:r>
        <w:rPr/>
        <w:t>all</w:t>
      </w:r>
      <w:r>
        <w:rPr>
          <w:spacing w:val="34"/>
        </w:rPr>
        <w:t> </w:t>
      </w:r>
      <w:r>
        <w:rPr/>
        <w:t>friendly</w:t>
      </w:r>
      <w:r>
        <w:rPr>
          <w:spacing w:val="34"/>
        </w:rPr>
        <w:t> </w:t>
      </w:r>
      <w:r>
        <w:rPr/>
        <w:t>countries; national and international Organizations;</w:t>
      </w:r>
    </w:p>
    <w:p>
      <w:pPr>
        <w:pStyle w:val="BodyText"/>
        <w:spacing w:before="1"/>
        <w:rPr>
          <w:sz w:val="34"/>
        </w:rPr>
      </w:pPr>
    </w:p>
    <w:p>
      <w:pPr>
        <w:pStyle w:val="ListParagraph"/>
        <w:numPr>
          <w:ilvl w:val="0"/>
          <w:numId w:val="1"/>
        </w:numPr>
        <w:tabs>
          <w:tab w:pos="1189" w:val="left" w:leader="none"/>
        </w:tabs>
        <w:spacing w:line="374" w:lineRule="auto" w:before="1" w:after="0"/>
        <w:ind w:left="1188" w:right="155" w:hanging="341"/>
        <w:jc w:val="both"/>
        <w:rPr>
          <w:sz w:val="22"/>
        </w:rPr>
      </w:pPr>
      <w:r>
        <w:rPr>
          <w:b/>
          <w:sz w:val="22"/>
          <w:u w:val="single"/>
        </w:rPr>
        <w:t>To intensify</w:t>
      </w:r>
      <w:r>
        <w:rPr>
          <w:b/>
          <w:sz w:val="22"/>
        </w:rPr>
        <w:t> </w:t>
      </w:r>
      <w:r>
        <w:rPr>
          <w:sz w:val="22"/>
        </w:rPr>
        <w:t>their economic and diplomatic campaign to completely isolate the Rhodesian racist minority regime;</w:t>
      </w:r>
    </w:p>
    <w:p>
      <w:pPr>
        <w:pStyle w:val="BodyText"/>
        <w:spacing w:before="2"/>
        <w:rPr>
          <w:sz w:val="33"/>
        </w:rPr>
      </w:pPr>
    </w:p>
    <w:p>
      <w:pPr>
        <w:pStyle w:val="ListParagraph"/>
        <w:numPr>
          <w:ilvl w:val="0"/>
          <w:numId w:val="1"/>
        </w:numPr>
        <w:tabs>
          <w:tab w:pos="1189" w:val="left" w:leader="none"/>
        </w:tabs>
        <w:spacing w:line="369" w:lineRule="auto" w:before="0" w:after="0"/>
        <w:ind w:left="1188" w:right="144" w:hanging="341"/>
        <w:jc w:val="both"/>
        <w:rPr>
          <w:sz w:val="22"/>
        </w:rPr>
      </w:pPr>
      <w:r>
        <w:rPr>
          <w:b/>
          <w:sz w:val="22"/>
          <w:u w:val="single"/>
        </w:rPr>
        <w:t>To give</w:t>
      </w:r>
      <w:r>
        <w:rPr>
          <w:b/>
          <w:sz w:val="22"/>
        </w:rPr>
        <w:t> </w:t>
      </w:r>
      <w:r>
        <w:rPr>
          <w:sz w:val="22"/>
        </w:rPr>
        <w:t>increased material and financial assistance to the ANC, the sole representative of the people of Zimbabwe to enable it to carry out an effective </w:t>
      </w:r>
      <w:r>
        <w:rPr>
          <w:spacing w:val="-2"/>
          <w:sz w:val="22"/>
        </w:rPr>
        <w:t>campaign.</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807" w:right="277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40"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2023-06-07T08:46:53Z</dcterms:created>
  <dcterms:modified xsi:type="dcterms:W3CDTF">2023-06-07T08:46:53Z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