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7"/>
        <w:ind w:left="6761"/>
      </w:pPr>
      <w:r>
        <w:rPr/>
        <w:t>CM/Res.</w:t>
      </w:r>
      <w:r>
        <w:rPr>
          <w:spacing w:val="9"/>
        </w:rPr>
        <w:t> </w:t>
      </w:r>
      <w:r>
        <w:rPr/>
        <w:t>432</w:t>
      </w:r>
      <w:r>
        <w:rPr>
          <w:spacing w:val="10"/>
        </w:rPr>
        <w:t> </w:t>
      </w:r>
      <w:r>
        <w:rPr>
          <w:spacing w:val="-2"/>
        </w:rPr>
        <w:t>(XXV)</w:t>
      </w:r>
    </w:p>
    <w:p>
      <w:pPr>
        <w:pStyle w:val="Title"/>
        <w:spacing w:line="374" w:lineRule="auto"/>
        <w:rPr>
          <w:u w:val="none"/>
        </w:rPr>
      </w:pPr>
      <w:r>
        <w:rPr>
          <w:u w:val="single"/>
        </w:rPr>
        <w:t>RESOLUTION ON THE CONDITIONS OF SERVICE OF THE</w:t>
      </w:r>
      <w:r>
        <w:rPr>
          <w:u w:val="none"/>
        </w:rPr>
        <w:t> </w:t>
      </w:r>
      <w:r>
        <w:rPr>
          <w:u w:val="single"/>
        </w:rPr>
        <w:t>NON-STATUTORY STAFF OF THE OAU</w:t>
      </w:r>
    </w:p>
    <w:p>
      <w:pPr>
        <w:pStyle w:val="BodyText"/>
        <w:spacing w:before="7"/>
        <w:rPr>
          <w:b/>
          <w:sz w:val="21"/>
        </w:rPr>
      </w:pPr>
    </w:p>
    <w:p>
      <w:pPr>
        <w:pStyle w:val="BodyText"/>
        <w:spacing w:line="364" w:lineRule="auto" w:before="128"/>
        <w:ind w:left="171" w:right="135" w:firstLine="676"/>
        <w:jc w:val="both"/>
      </w:pPr>
      <w:r>
        <w:rPr/>
        <w:t>The Council of Ministers meeting in Kampala from 18</w:t>
      </w:r>
      <w:r>
        <w:rPr>
          <w:spacing w:val="40"/>
        </w:rPr>
        <w:t> </w:t>
      </w:r>
      <w:r>
        <w:rPr/>
        <w:t>– 25 July 1975 at its 25</w:t>
      </w:r>
      <w:r>
        <w:rPr>
          <w:vertAlign w:val="superscript"/>
        </w:rPr>
        <w:t>th</w:t>
      </w:r>
      <w:r>
        <w:rPr>
          <w:spacing w:val="40"/>
          <w:vertAlign w:val="baseline"/>
        </w:rPr>
        <w:t> </w:t>
      </w:r>
      <w:r>
        <w:rPr>
          <w:spacing w:val="-2"/>
          <w:vertAlign w:val="baseline"/>
        </w:rPr>
        <w:t>Session,</w:t>
      </w:r>
    </w:p>
    <w:p>
      <w:pPr>
        <w:pStyle w:val="BodyText"/>
        <w:spacing w:before="7"/>
        <w:rPr>
          <w:sz w:val="34"/>
        </w:rPr>
      </w:pPr>
    </w:p>
    <w:p>
      <w:pPr>
        <w:pStyle w:val="BodyText"/>
        <w:spacing w:line="369" w:lineRule="auto"/>
        <w:ind w:left="171" w:right="147" w:firstLine="676"/>
        <w:jc w:val="both"/>
      </w:pPr>
      <w:r>
        <w:rPr>
          <w:b/>
          <w:u w:val="single"/>
        </w:rPr>
        <w:t>Recalling</w:t>
      </w:r>
      <w:r>
        <w:rPr>
          <w:b/>
          <w:spacing w:val="40"/>
        </w:rPr>
        <w:t> </w:t>
      </w:r>
      <w:r>
        <w:rPr/>
        <w:t>that</w:t>
      </w:r>
      <w:r>
        <w:rPr>
          <w:spacing w:val="40"/>
        </w:rPr>
        <w:t> </w:t>
      </w:r>
      <w:r>
        <w:rPr/>
        <w:t>the</w:t>
      </w:r>
      <w:r>
        <w:rPr>
          <w:spacing w:val="40"/>
        </w:rPr>
        <w:t> </w:t>
      </w:r>
      <w:r>
        <w:rPr/>
        <w:t>22</w:t>
      </w:r>
      <w:r>
        <w:rPr>
          <w:vertAlign w:val="superscript"/>
        </w:rPr>
        <w:t>nd</w:t>
      </w:r>
      <w:r>
        <w:rPr>
          <w:vertAlign w:val="baseline"/>
        </w:rPr>
        <w:t> Session of the Council of Ministers had before it an item entitled Consideration of OAU Conditions of Service,</w:t>
      </w:r>
    </w:p>
    <w:p>
      <w:pPr>
        <w:pStyle w:val="BodyText"/>
        <w:spacing w:before="7"/>
        <w:rPr>
          <w:sz w:val="33"/>
        </w:rPr>
      </w:pPr>
    </w:p>
    <w:p>
      <w:pPr>
        <w:pStyle w:val="BodyText"/>
        <w:spacing w:line="369" w:lineRule="auto"/>
        <w:ind w:left="171" w:right="142" w:firstLine="676"/>
        <w:jc w:val="both"/>
      </w:pPr>
      <w:r>
        <w:rPr>
          <w:b/>
          <w:u w:val="single"/>
        </w:rPr>
        <w:t>Recalling</w:t>
      </w:r>
      <w:r>
        <w:rPr>
          <w:b/>
        </w:rPr>
        <w:t> </w:t>
      </w:r>
      <w:r>
        <w:rPr/>
        <w:t>also that, due to unforeseen circumstances, the 22</w:t>
      </w:r>
      <w:r>
        <w:rPr>
          <w:vertAlign w:val="superscript"/>
        </w:rPr>
        <w:t>nd</w:t>
      </w:r>
      <w:r>
        <w:rPr>
          <w:vertAlign w:val="baseline"/>
        </w:rPr>
        <w:t> Session adjourned</w:t>
      </w:r>
      <w:r>
        <w:rPr>
          <w:spacing w:val="40"/>
          <w:vertAlign w:val="baseline"/>
        </w:rPr>
        <w:t> </w:t>
      </w:r>
      <w:r>
        <w:rPr>
          <w:vertAlign w:val="baseline"/>
        </w:rPr>
        <w:t>without completing its work,</w:t>
      </w:r>
    </w:p>
    <w:p>
      <w:pPr>
        <w:pStyle w:val="BodyText"/>
        <w:spacing w:before="8"/>
        <w:rPr>
          <w:sz w:val="33"/>
        </w:rPr>
      </w:pPr>
    </w:p>
    <w:p>
      <w:pPr>
        <w:pStyle w:val="BodyText"/>
        <w:spacing w:line="374" w:lineRule="auto"/>
        <w:ind w:left="171" w:right="163" w:firstLine="676"/>
        <w:jc w:val="both"/>
      </w:pPr>
      <w:r>
        <w:rPr>
          <w:b/>
          <w:u w:val="single"/>
        </w:rPr>
        <w:t>Taking note</w:t>
      </w:r>
      <w:r>
        <w:rPr>
          <w:b/>
          <w:spacing w:val="19"/>
        </w:rPr>
        <w:t> </w:t>
      </w:r>
      <w:r>
        <w:rPr/>
        <w:t>of the fact for technical reasons the above item has not been resubmitted</w:t>
      </w:r>
      <w:r>
        <w:rPr>
          <w:spacing w:val="40"/>
        </w:rPr>
        <w:t> </w:t>
      </w:r>
      <w:r>
        <w:rPr/>
        <w:t>to subsequent Sessions of the Council of Ministers,</w:t>
      </w:r>
    </w:p>
    <w:p>
      <w:pPr>
        <w:pStyle w:val="BodyText"/>
        <w:spacing w:before="9"/>
        <w:rPr>
          <w:sz w:val="32"/>
        </w:rPr>
      </w:pPr>
    </w:p>
    <w:p>
      <w:pPr>
        <w:pStyle w:val="BodyText"/>
        <w:spacing w:line="372" w:lineRule="auto"/>
        <w:ind w:left="171" w:right="148" w:firstLine="676"/>
        <w:jc w:val="both"/>
      </w:pPr>
      <w:r>
        <w:rPr>
          <w:b/>
          <w:u w:val="single"/>
        </w:rPr>
        <w:t>Believing</w:t>
      </w:r>
      <w:r>
        <w:rPr>
          <w:b/>
        </w:rPr>
        <w:t> </w:t>
      </w:r>
      <w:r>
        <w:rPr/>
        <w:t>that for the morale and the efficiency of all personnel of the general Secretariat, irrespective of their locations, as well as for the integrity of the Organization, the Staff Rules and Regulations should be uniformly applied,</w:t>
      </w:r>
    </w:p>
    <w:p>
      <w:pPr>
        <w:pStyle w:val="BodyText"/>
        <w:spacing w:before="4"/>
        <w:rPr>
          <w:sz w:val="33"/>
        </w:rPr>
      </w:pPr>
    </w:p>
    <w:p>
      <w:pPr>
        <w:pStyle w:val="ListParagraph"/>
        <w:numPr>
          <w:ilvl w:val="0"/>
          <w:numId w:val="1"/>
        </w:numPr>
        <w:tabs>
          <w:tab w:pos="1189" w:val="left" w:leader="none"/>
        </w:tabs>
        <w:spacing w:line="369" w:lineRule="auto" w:before="1" w:after="0"/>
        <w:ind w:left="1188" w:right="147" w:hanging="341"/>
        <w:jc w:val="both"/>
        <w:rPr>
          <w:sz w:val="22"/>
        </w:rPr>
      </w:pPr>
      <w:r>
        <w:rPr>
          <w:b/>
          <w:sz w:val="22"/>
        </w:rPr>
        <w:t>REQUESTS </w:t>
      </w:r>
      <w:r>
        <w:rPr>
          <w:sz w:val="22"/>
        </w:rPr>
        <w:t>the General Secretariat to undertake a thorough study of the problem with a view to removing any anomaly that may be existing in the Staff Rules and Regulations with respect to their uniform application and to make relevant recommendations</w:t>
      </w:r>
      <w:r>
        <w:rPr>
          <w:spacing w:val="40"/>
          <w:sz w:val="22"/>
        </w:rPr>
        <w:t> </w:t>
      </w:r>
      <w:r>
        <w:rPr>
          <w:sz w:val="22"/>
        </w:rPr>
        <w:t>to</w:t>
      </w:r>
      <w:r>
        <w:rPr>
          <w:spacing w:val="40"/>
          <w:sz w:val="22"/>
        </w:rPr>
        <w:t> </w:t>
      </w:r>
      <w:r>
        <w:rPr>
          <w:sz w:val="22"/>
        </w:rPr>
        <w:t>the</w:t>
      </w:r>
      <w:r>
        <w:rPr>
          <w:spacing w:val="40"/>
          <w:sz w:val="22"/>
        </w:rPr>
        <w:t> </w:t>
      </w:r>
      <w:r>
        <w:rPr>
          <w:sz w:val="22"/>
        </w:rPr>
        <w:t>Advisory</w:t>
      </w:r>
      <w:r>
        <w:rPr>
          <w:spacing w:val="40"/>
          <w:sz w:val="22"/>
        </w:rPr>
        <w:t> </w:t>
      </w:r>
      <w:r>
        <w:rPr>
          <w:sz w:val="22"/>
        </w:rPr>
        <w:t>Committee</w:t>
      </w:r>
      <w:r>
        <w:rPr>
          <w:spacing w:val="40"/>
          <w:sz w:val="22"/>
        </w:rPr>
        <w:t> </w:t>
      </w:r>
      <w:r>
        <w:rPr>
          <w:sz w:val="22"/>
        </w:rPr>
        <w:t>on</w:t>
      </w:r>
      <w:r>
        <w:rPr>
          <w:spacing w:val="40"/>
          <w:sz w:val="22"/>
        </w:rPr>
        <w:t> </w:t>
      </w:r>
      <w:r>
        <w:rPr>
          <w:sz w:val="22"/>
        </w:rPr>
        <w:t>Budgetary</w:t>
      </w:r>
      <w:r>
        <w:rPr>
          <w:spacing w:val="40"/>
          <w:sz w:val="22"/>
        </w:rPr>
        <w:t> </w:t>
      </w:r>
      <w:r>
        <w:rPr>
          <w:sz w:val="22"/>
        </w:rPr>
        <w:t>and</w:t>
      </w:r>
      <w:r>
        <w:rPr>
          <w:spacing w:val="40"/>
          <w:sz w:val="22"/>
        </w:rPr>
        <w:t> </w:t>
      </w:r>
      <w:r>
        <w:rPr>
          <w:sz w:val="22"/>
        </w:rPr>
        <w:t>Financial </w:t>
      </w:r>
      <w:r>
        <w:rPr>
          <w:spacing w:val="-2"/>
          <w:sz w:val="22"/>
        </w:rPr>
        <w:t>Matters.</w:t>
      </w:r>
    </w:p>
    <w:p>
      <w:pPr>
        <w:pStyle w:val="BodyText"/>
        <w:spacing w:before="10"/>
        <w:rPr>
          <w:sz w:val="33"/>
        </w:rPr>
      </w:pPr>
    </w:p>
    <w:p>
      <w:pPr>
        <w:pStyle w:val="ListParagraph"/>
        <w:numPr>
          <w:ilvl w:val="0"/>
          <w:numId w:val="1"/>
        </w:numPr>
        <w:tabs>
          <w:tab w:pos="1189" w:val="left" w:leader="none"/>
        </w:tabs>
        <w:spacing w:line="367" w:lineRule="auto" w:before="0" w:after="0"/>
        <w:ind w:left="1188" w:right="142" w:hanging="341"/>
        <w:jc w:val="both"/>
        <w:rPr>
          <w:sz w:val="22"/>
        </w:rPr>
      </w:pPr>
      <w:r>
        <w:rPr>
          <w:b/>
          <w:sz w:val="22"/>
        </w:rPr>
        <w:t>REQUESTS FURTHER </w:t>
      </w:r>
      <w:r>
        <w:rPr>
          <w:sz w:val="22"/>
        </w:rPr>
        <w:t>the Advisory Committee on Budgetary and Financial Matters to submit its report and proposals on this matter to the 26</w:t>
      </w:r>
      <w:r>
        <w:rPr>
          <w:spacing w:val="-14"/>
          <w:sz w:val="22"/>
        </w:rPr>
        <w:t> </w:t>
      </w:r>
      <w:r>
        <w:rPr>
          <w:sz w:val="22"/>
          <w:vertAlign w:val="superscript"/>
        </w:rPr>
        <w:t>th</w:t>
      </w:r>
      <w:r>
        <w:rPr>
          <w:sz w:val="22"/>
          <w:vertAlign w:val="baseline"/>
        </w:rPr>
        <w:t> Session of the Council of Ministers;</w:t>
      </w:r>
    </w:p>
    <w:p>
      <w:pPr>
        <w:pStyle w:val="BodyText"/>
        <w:spacing w:before="3"/>
        <w:rPr>
          <w:sz w:val="34"/>
        </w:rPr>
      </w:pPr>
    </w:p>
    <w:p>
      <w:pPr>
        <w:pStyle w:val="ListParagraph"/>
        <w:numPr>
          <w:ilvl w:val="0"/>
          <w:numId w:val="1"/>
        </w:numPr>
        <w:tabs>
          <w:tab w:pos="1189" w:val="left" w:leader="none"/>
        </w:tabs>
        <w:spacing w:line="369" w:lineRule="auto" w:before="0" w:after="0"/>
        <w:ind w:left="1188" w:right="149" w:hanging="341"/>
        <w:jc w:val="both"/>
        <w:rPr>
          <w:sz w:val="22"/>
        </w:rPr>
      </w:pPr>
      <w:r>
        <w:rPr>
          <w:b/>
          <w:sz w:val="22"/>
        </w:rPr>
        <w:t>DECIDES </w:t>
      </w:r>
      <w:r>
        <w:rPr>
          <w:sz w:val="22"/>
        </w:rPr>
        <w:t>to consider at its 26</w:t>
      </w:r>
      <w:r>
        <w:rPr>
          <w:sz w:val="22"/>
          <w:vertAlign w:val="superscript"/>
        </w:rPr>
        <w:t>th</w:t>
      </w:r>
      <w:r>
        <w:rPr>
          <w:sz w:val="22"/>
          <w:vertAlign w:val="baseline"/>
        </w:rPr>
        <w:t> Session the report and recommendations of the Advisory Committee on this matter.</w:t>
      </w:r>
    </w:p>
    <w:sectPr>
      <w:type w:val="continuous"/>
      <w:pgSz w:w="12240" w:h="15840"/>
      <w:pgMar w:top="62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8" w:hanging="341"/>
        <w:jc w:val="left"/>
      </w:pPr>
      <w:rPr>
        <w:rFonts w:hint="default" w:ascii="Times New Roman" w:hAnsi="Times New Roman" w:eastAsia="Times New Roman" w:cs="Times New Roman"/>
        <w:b w:val="0"/>
        <w:bCs w:val="0"/>
        <w:i w:val="0"/>
        <w:iCs w:val="0"/>
        <w:spacing w:val="0"/>
        <w:w w:val="102"/>
        <w:sz w:val="22"/>
        <w:szCs w:val="22"/>
        <w:lang w:val="en-US" w:eastAsia="en-US" w:bidi="ar-SA"/>
      </w:rPr>
    </w:lvl>
    <w:lvl w:ilvl="1">
      <w:start w:val="0"/>
      <w:numFmt w:val="bullet"/>
      <w:lvlText w:val="•"/>
      <w:lvlJc w:val="left"/>
      <w:pPr>
        <w:ind w:left="1942" w:hanging="341"/>
      </w:pPr>
      <w:rPr>
        <w:rFonts w:hint="default"/>
        <w:lang w:val="en-US" w:eastAsia="en-US" w:bidi="ar-SA"/>
      </w:rPr>
    </w:lvl>
    <w:lvl w:ilvl="2">
      <w:start w:val="0"/>
      <w:numFmt w:val="bullet"/>
      <w:lvlText w:val="•"/>
      <w:lvlJc w:val="left"/>
      <w:pPr>
        <w:ind w:left="2704" w:hanging="341"/>
      </w:pPr>
      <w:rPr>
        <w:rFonts w:hint="default"/>
        <w:lang w:val="en-US" w:eastAsia="en-US" w:bidi="ar-SA"/>
      </w:rPr>
    </w:lvl>
    <w:lvl w:ilvl="3">
      <w:start w:val="0"/>
      <w:numFmt w:val="bullet"/>
      <w:lvlText w:val="•"/>
      <w:lvlJc w:val="left"/>
      <w:pPr>
        <w:ind w:left="3466" w:hanging="341"/>
      </w:pPr>
      <w:rPr>
        <w:rFonts w:hint="default"/>
        <w:lang w:val="en-US" w:eastAsia="en-US" w:bidi="ar-SA"/>
      </w:rPr>
    </w:lvl>
    <w:lvl w:ilvl="4">
      <w:start w:val="0"/>
      <w:numFmt w:val="bullet"/>
      <w:lvlText w:val="•"/>
      <w:lvlJc w:val="left"/>
      <w:pPr>
        <w:ind w:left="4228" w:hanging="341"/>
      </w:pPr>
      <w:rPr>
        <w:rFonts w:hint="default"/>
        <w:lang w:val="en-US" w:eastAsia="en-US" w:bidi="ar-SA"/>
      </w:rPr>
    </w:lvl>
    <w:lvl w:ilvl="5">
      <w:start w:val="0"/>
      <w:numFmt w:val="bullet"/>
      <w:lvlText w:val="•"/>
      <w:lvlJc w:val="left"/>
      <w:pPr>
        <w:ind w:left="4990" w:hanging="341"/>
      </w:pPr>
      <w:rPr>
        <w:rFonts w:hint="default"/>
        <w:lang w:val="en-US" w:eastAsia="en-US" w:bidi="ar-SA"/>
      </w:rPr>
    </w:lvl>
    <w:lvl w:ilvl="6">
      <w:start w:val="0"/>
      <w:numFmt w:val="bullet"/>
      <w:lvlText w:val="•"/>
      <w:lvlJc w:val="left"/>
      <w:pPr>
        <w:ind w:left="5752" w:hanging="341"/>
      </w:pPr>
      <w:rPr>
        <w:rFonts w:hint="default"/>
        <w:lang w:val="en-US" w:eastAsia="en-US" w:bidi="ar-SA"/>
      </w:rPr>
    </w:lvl>
    <w:lvl w:ilvl="7">
      <w:start w:val="0"/>
      <w:numFmt w:val="bullet"/>
      <w:lvlText w:val="•"/>
      <w:lvlJc w:val="left"/>
      <w:pPr>
        <w:ind w:left="6514" w:hanging="341"/>
      </w:pPr>
      <w:rPr>
        <w:rFonts w:hint="default"/>
        <w:lang w:val="en-US" w:eastAsia="en-US" w:bidi="ar-SA"/>
      </w:rPr>
    </w:lvl>
    <w:lvl w:ilvl="8">
      <w:start w:val="0"/>
      <w:numFmt w:val="bullet"/>
      <w:lvlText w:val="•"/>
      <w:lvlJc w:val="left"/>
      <w:pPr>
        <w:ind w:left="7276" w:hanging="341"/>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spacing w:before="11"/>
      <w:ind w:left="2311" w:right="1264" w:hanging="1028"/>
    </w:pPr>
    <w:rPr>
      <w:rFonts w:ascii="Times New Roman" w:hAnsi="Times New Roman" w:eastAsia="Times New Roman" w:cs="Times New Roman"/>
      <w:b/>
      <w:bCs/>
      <w:sz w:val="22"/>
      <w:szCs w:val="22"/>
      <w:u w:val="single" w:color="000000"/>
      <w:lang w:val="en-US" w:eastAsia="en-US" w:bidi="ar-SA"/>
    </w:rPr>
  </w:style>
  <w:style w:styleId="ListParagraph" w:type="paragraph">
    <w:name w:val="List Paragraph"/>
    <w:basedOn w:val="Normal"/>
    <w:uiPriority w:val="1"/>
    <w:qFormat/>
    <w:pPr>
      <w:ind w:left="1188" w:right="142" w:hanging="341"/>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OF THE TWENTY-FIFTH SESSION OF THE COUNCIL OF MINISTERS</dc:title>
  <dcterms:created xsi:type="dcterms:W3CDTF">2023-06-07T08:47:01Z</dcterms:created>
  <dcterms:modified xsi:type="dcterms:W3CDTF">2023-06-07T08:47:01Z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2023-04-27T00:00:00Z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