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RESOLUTION ON THE MIDDLE EAST AND THE OCCUPIED ARAB</w:t>
      </w:r>
      <w:r>
        <w:rPr>
          <w:u w:val="none"/>
        </w:rPr>
        <w:t> </w:t>
      </w:r>
      <w:r>
        <w:rPr>
          <w:spacing w:val="-2"/>
          <w:u w:val="single"/>
        </w:rPr>
        <w:t>TERRITORIES</w:t>
      </w:r>
    </w:p>
    <w:p>
      <w:pPr>
        <w:pStyle w:val="BodyText"/>
        <w:spacing w:before="6"/>
        <w:rPr>
          <w:b/>
          <w:sz w:val="24"/>
        </w:rPr>
      </w:pPr>
    </w:p>
    <w:p>
      <w:pPr>
        <w:pStyle w:val="BodyText"/>
        <w:spacing w:line="374" w:lineRule="auto" w:before="96"/>
        <w:ind w:left="171" w:right="137" w:firstLine="676"/>
        <w:jc w:val="both"/>
      </w:pPr>
      <w:r>
        <w:rPr/>
        <w:t>The Council of Ministers of the Organization of African Unity, meeting in its Twenty- Sixth Ordinary Session in Addis Ababa, Ethiopia, from 23 February to 1 March 1976,</w:t>
      </w:r>
    </w:p>
    <w:p>
      <w:pPr>
        <w:pStyle w:val="BodyText"/>
        <w:spacing w:before="2"/>
        <w:rPr>
          <w:sz w:val="33"/>
        </w:rPr>
      </w:pPr>
    </w:p>
    <w:p>
      <w:pPr>
        <w:pStyle w:val="BodyText"/>
        <w:spacing w:line="369" w:lineRule="auto"/>
        <w:ind w:left="171" w:right="154" w:firstLine="676"/>
        <w:jc w:val="both"/>
      </w:pPr>
      <w:r>
        <w:rPr>
          <w:b/>
          <w:u w:val="single"/>
        </w:rPr>
        <w:t>Having considered</w:t>
      </w:r>
      <w:r>
        <w:rPr>
          <w:b/>
        </w:rPr>
        <w:t> </w:t>
      </w:r>
      <w:r>
        <w:rPr/>
        <w:t>the report of the Administrative Secretary General of the OAU on the Middle East problem document CM/721 (XXVI),</w:t>
      </w:r>
    </w:p>
    <w:p>
      <w:pPr>
        <w:pStyle w:val="BodyText"/>
        <w:spacing w:before="8"/>
        <w:rPr>
          <w:sz w:val="33"/>
        </w:rPr>
      </w:pPr>
    </w:p>
    <w:p>
      <w:pPr>
        <w:pStyle w:val="BodyText"/>
        <w:spacing w:line="369" w:lineRule="auto"/>
        <w:ind w:left="171" w:right="157" w:firstLine="676"/>
        <w:jc w:val="both"/>
      </w:pPr>
      <w:r>
        <w:rPr>
          <w:b/>
          <w:u w:val="single"/>
        </w:rPr>
        <w:t>Having heard</w:t>
      </w:r>
      <w:r>
        <w:rPr>
          <w:b/>
        </w:rPr>
        <w:t> </w:t>
      </w:r>
      <w:r>
        <w:rPr/>
        <w:t>the statements delivered during the Session by the representative of the Arab Republic of Egypt, the P.L.O. and other Delegations,</w:t>
      </w:r>
    </w:p>
    <w:p>
      <w:pPr>
        <w:pStyle w:val="BodyText"/>
        <w:spacing w:before="1"/>
        <w:rPr>
          <w:sz w:val="34"/>
        </w:rPr>
      </w:pPr>
    </w:p>
    <w:p>
      <w:pPr>
        <w:pStyle w:val="BodyText"/>
        <w:spacing w:line="367" w:lineRule="auto"/>
        <w:ind w:left="171" w:right="151" w:firstLine="676"/>
        <w:jc w:val="both"/>
      </w:pPr>
      <w:r>
        <w:rPr>
          <w:b/>
          <w:u w:val="single"/>
        </w:rPr>
        <w:t>Recalling</w:t>
      </w:r>
      <w:r>
        <w:rPr>
          <w:b/>
        </w:rPr>
        <w:t> </w:t>
      </w:r>
      <w:r>
        <w:rPr/>
        <w:t>the Resolution adopted by the several sessions of the OAU Assembly of Heads of State and Government and the Council of Ministers on the Middle East and the Palestinian problems an din particular Resolution AHG/Res. 76 (XII),</w:t>
      </w:r>
    </w:p>
    <w:p>
      <w:pPr>
        <w:pStyle w:val="BodyText"/>
        <w:spacing w:before="3"/>
        <w:rPr>
          <w:sz w:val="34"/>
        </w:rPr>
      </w:pPr>
    </w:p>
    <w:p>
      <w:pPr>
        <w:pStyle w:val="BodyText"/>
        <w:ind w:left="848"/>
      </w:pPr>
      <w:r>
        <w:rPr>
          <w:b/>
          <w:u w:val="single"/>
        </w:rPr>
        <w:t>Guided</w:t>
      </w:r>
      <w:r>
        <w:rPr>
          <w:b/>
          <w:spacing w:val="5"/>
        </w:rPr>
        <w:t> </w:t>
      </w:r>
      <w:r>
        <w:rPr/>
        <w:t>by</w:t>
      </w:r>
      <w:r>
        <w:rPr>
          <w:spacing w:val="2"/>
        </w:rPr>
        <w:t> </w:t>
      </w:r>
      <w:r>
        <w:rPr/>
        <w:t>the</w:t>
      </w:r>
      <w:r>
        <w:rPr>
          <w:spacing w:val="4"/>
        </w:rPr>
        <w:t> </w:t>
      </w:r>
      <w:r>
        <w:rPr/>
        <w:t>principle</w:t>
      </w:r>
      <w:r>
        <w:rPr>
          <w:spacing w:val="3"/>
        </w:rPr>
        <w:t> </w:t>
      </w:r>
      <w:r>
        <w:rPr/>
        <w:t>and</w:t>
      </w:r>
      <w:r>
        <w:rPr>
          <w:spacing w:val="4"/>
        </w:rPr>
        <w:t> </w:t>
      </w:r>
      <w:r>
        <w:rPr/>
        <w:t>objectives</w:t>
      </w:r>
      <w:r>
        <w:rPr>
          <w:spacing w:val="2"/>
        </w:rPr>
        <w:t> </w:t>
      </w:r>
      <w:r>
        <w:rPr/>
        <w:t>of</w:t>
      </w:r>
      <w:r>
        <w:rPr>
          <w:spacing w:val="2"/>
        </w:rPr>
        <w:t> </w:t>
      </w:r>
      <w:r>
        <w:rPr/>
        <w:t>the</w:t>
      </w:r>
      <w:r>
        <w:rPr>
          <w:spacing w:val="3"/>
        </w:rPr>
        <w:t> </w:t>
      </w:r>
      <w:r>
        <w:rPr/>
        <w:t>OAU</w:t>
      </w:r>
      <w:r>
        <w:rPr>
          <w:spacing w:val="2"/>
        </w:rPr>
        <w:t> </w:t>
      </w:r>
      <w:r>
        <w:rPr/>
        <w:t>and</w:t>
      </w:r>
      <w:r>
        <w:rPr>
          <w:spacing w:val="4"/>
        </w:rPr>
        <w:t> </w:t>
      </w:r>
      <w:r>
        <w:rPr/>
        <w:t>the</w:t>
      </w:r>
      <w:r>
        <w:rPr>
          <w:spacing w:val="2"/>
        </w:rPr>
        <w:t> </w:t>
      </w:r>
      <w:r>
        <w:rPr/>
        <w:t>UN</w:t>
      </w:r>
      <w:r>
        <w:rPr>
          <w:spacing w:val="3"/>
        </w:rPr>
        <w:t> </w:t>
      </w:r>
      <w:r>
        <w:rPr>
          <w:spacing w:val="-2"/>
        </w:rPr>
        <w:t>Charters,</w:t>
      </w:r>
    </w:p>
    <w:p>
      <w:pPr>
        <w:pStyle w:val="BodyText"/>
        <w:rPr>
          <w:sz w:val="24"/>
        </w:rPr>
      </w:pPr>
    </w:p>
    <w:p>
      <w:pPr>
        <w:pStyle w:val="BodyText"/>
        <w:spacing w:before="7"/>
        <w:rPr>
          <w:sz w:val="21"/>
        </w:rPr>
      </w:pPr>
    </w:p>
    <w:p>
      <w:pPr>
        <w:pStyle w:val="BodyText"/>
        <w:spacing w:line="369" w:lineRule="auto"/>
        <w:ind w:left="171" w:right="139" w:firstLine="676"/>
        <w:jc w:val="both"/>
      </w:pPr>
      <w:r>
        <w:rPr>
          <w:b/>
          <w:u w:val="single"/>
        </w:rPr>
        <w:t>Noting</w:t>
      </w:r>
      <w:r>
        <w:rPr>
          <w:b/>
        </w:rPr>
        <w:t> </w:t>
      </w:r>
      <w:r>
        <w:rPr/>
        <w:t>that the continued occupation by Israel of Arab territories constitutes a</w:t>
      </w:r>
      <w:r>
        <w:rPr>
          <w:spacing w:val="40"/>
        </w:rPr>
        <w:t> </w:t>
      </w:r>
      <w:r>
        <w:rPr/>
        <w:t>continued violation and aggression and poses a serious threat to the rights, security and sovereignty</w:t>
      </w:r>
      <w:r>
        <w:rPr>
          <w:spacing w:val="40"/>
        </w:rPr>
        <w:t> </w:t>
      </w:r>
      <w:r>
        <w:rPr/>
        <w:t>of</w:t>
      </w:r>
      <w:r>
        <w:rPr>
          <w:spacing w:val="40"/>
        </w:rPr>
        <w:t> </w:t>
      </w:r>
      <w:r>
        <w:rPr/>
        <w:t>the</w:t>
      </w:r>
      <w:r>
        <w:rPr>
          <w:spacing w:val="40"/>
        </w:rPr>
        <w:t> </w:t>
      </w:r>
      <w:r>
        <w:rPr/>
        <w:t>various</w:t>
      </w:r>
      <w:r>
        <w:rPr>
          <w:spacing w:val="40"/>
        </w:rPr>
        <w:t> </w:t>
      </w:r>
      <w:r>
        <w:rPr/>
        <w:t>Arab</w:t>
      </w:r>
      <w:r>
        <w:rPr>
          <w:spacing w:val="40"/>
        </w:rPr>
        <w:t> </w:t>
      </w:r>
      <w:r>
        <w:rPr/>
        <w:t>States</w:t>
      </w:r>
      <w:r>
        <w:rPr>
          <w:spacing w:val="40"/>
        </w:rPr>
        <w:t> </w:t>
      </w:r>
      <w:r>
        <w:rPr/>
        <w:t>as</w:t>
      </w:r>
      <w:r>
        <w:rPr>
          <w:spacing w:val="40"/>
        </w:rPr>
        <w:t> </w:t>
      </w:r>
      <w:r>
        <w:rPr/>
        <w:t>well</w:t>
      </w:r>
      <w:r>
        <w:rPr>
          <w:spacing w:val="40"/>
        </w:rPr>
        <w:t> </w:t>
      </w:r>
      <w:r>
        <w:rPr/>
        <w:t>as</w:t>
      </w:r>
      <w:r>
        <w:rPr>
          <w:spacing w:val="40"/>
        </w:rPr>
        <w:t> </w:t>
      </w:r>
      <w:r>
        <w:rPr/>
        <w:t>tot</w:t>
      </w:r>
      <w:r>
        <w:rPr>
          <w:spacing w:val="40"/>
        </w:rPr>
        <w:t> </w:t>
      </w:r>
      <w:r>
        <w:rPr/>
        <w:t>he</w:t>
      </w:r>
      <w:r>
        <w:rPr>
          <w:spacing w:val="40"/>
        </w:rPr>
        <w:t> </w:t>
      </w:r>
      <w:r>
        <w:rPr/>
        <w:t>national</w:t>
      </w:r>
      <w:r>
        <w:rPr>
          <w:spacing w:val="40"/>
        </w:rPr>
        <w:t> </w:t>
      </w:r>
      <w:r>
        <w:rPr/>
        <w:t>rights</w:t>
      </w:r>
      <w:r>
        <w:rPr>
          <w:spacing w:val="40"/>
        </w:rPr>
        <w:t> </w:t>
      </w:r>
      <w:r>
        <w:rPr/>
        <w:t>of</w:t>
      </w:r>
      <w:r>
        <w:rPr>
          <w:spacing w:val="40"/>
        </w:rPr>
        <w:t> </w:t>
      </w:r>
      <w:r>
        <w:rPr/>
        <w:t>the</w:t>
      </w:r>
      <w:r>
        <w:rPr>
          <w:spacing w:val="40"/>
        </w:rPr>
        <w:t> </w:t>
      </w:r>
      <w:r>
        <w:rPr/>
        <w:t>Palestinian </w:t>
      </w:r>
      <w:r>
        <w:rPr>
          <w:spacing w:val="-2"/>
        </w:rPr>
        <w:t>people,</w:t>
      </w:r>
    </w:p>
    <w:p>
      <w:pPr>
        <w:pStyle w:val="BodyText"/>
        <w:spacing w:before="6"/>
        <w:rPr>
          <w:sz w:val="33"/>
        </w:rPr>
      </w:pPr>
    </w:p>
    <w:p>
      <w:pPr>
        <w:pStyle w:val="BodyText"/>
        <w:spacing w:line="369" w:lineRule="auto"/>
        <w:ind w:left="171" w:right="144" w:firstLine="676"/>
        <w:jc w:val="both"/>
      </w:pPr>
      <w:r>
        <w:rPr>
          <w:b/>
          <w:u w:val="single"/>
        </w:rPr>
        <w:t>Reaffirming</w:t>
      </w:r>
      <w:r>
        <w:rPr>
          <w:b/>
        </w:rPr>
        <w:t> </w:t>
      </w:r>
      <w:r>
        <w:rPr/>
        <w:t>that the total withdrawal of Israel from all the occupied Arab territories</w:t>
      </w:r>
      <w:r>
        <w:rPr>
          <w:spacing w:val="40"/>
        </w:rPr>
        <w:t> </w:t>
      </w:r>
      <w:r>
        <w:rPr/>
        <w:t>and</w:t>
      </w:r>
      <w:r>
        <w:rPr>
          <w:spacing w:val="32"/>
        </w:rPr>
        <w:t> </w:t>
      </w:r>
      <w:r>
        <w:rPr/>
        <w:t>the</w:t>
      </w:r>
      <w:r>
        <w:rPr>
          <w:spacing w:val="40"/>
        </w:rPr>
        <w:t> </w:t>
      </w:r>
      <w:r>
        <w:rPr/>
        <w:t>recognition</w:t>
      </w:r>
      <w:r>
        <w:rPr>
          <w:spacing w:val="40"/>
        </w:rPr>
        <w:t> </w:t>
      </w:r>
      <w:r>
        <w:rPr/>
        <w:t>of</w:t>
      </w:r>
      <w:r>
        <w:rPr>
          <w:spacing w:val="40"/>
        </w:rPr>
        <w:t> </w:t>
      </w:r>
      <w:r>
        <w:rPr/>
        <w:t>the</w:t>
      </w:r>
      <w:r>
        <w:rPr>
          <w:spacing w:val="40"/>
        </w:rPr>
        <w:t> </w:t>
      </w:r>
      <w:r>
        <w:rPr/>
        <w:t>Palestinian</w:t>
      </w:r>
      <w:r>
        <w:rPr>
          <w:spacing w:val="40"/>
        </w:rPr>
        <w:t> </w:t>
      </w:r>
      <w:r>
        <w:rPr/>
        <w:t>people’s</w:t>
      </w:r>
      <w:r>
        <w:rPr>
          <w:spacing w:val="40"/>
        </w:rPr>
        <w:t> </w:t>
      </w:r>
      <w:r>
        <w:rPr/>
        <w:t>ri</w:t>
      </w:r>
      <w:r>
        <w:rPr>
          <w:spacing w:val="-14"/>
        </w:rPr>
        <w:t> </w:t>
      </w:r>
      <w:r>
        <w:rPr/>
        <w:t>ght</w:t>
      </w:r>
      <w:r>
        <w:rPr>
          <w:spacing w:val="40"/>
        </w:rPr>
        <w:t> </w:t>
      </w:r>
      <w:r>
        <w:rPr/>
        <w:t>to</w:t>
      </w:r>
      <w:r>
        <w:rPr>
          <w:spacing w:val="40"/>
        </w:rPr>
        <w:t> </w:t>
      </w:r>
      <w:r>
        <w:rPr/>
        <w:t>sovereignty,</w:t>
      </w:r>
      <w:r>
        <w:rPr>
          <w:spacing w:val="40"/>
        </w:rPr>
        <w:t> </w:t>
      </w:r>
      <w:r>
        <w:rPr/>
        <w:t>national</w:t>
      </w:r>
      <w:r>
        <w:rPr>
          <w:spacing w:val="40"/>
        </w:rPr>
        <w:t> </w:t>
      </w:r>
      <w:r>
        <w:rPr/>
        <w:t>independence and self-determination are a pre-requisite for a just and lasting peace in Palestine and the</w:t>
      </w:r>
      <w:r>
        <w:rPr>
          <w:spacing w:val="80"/>
        </w:rPr>
        <w:t> </w:t>
      </w:r>
      <w:r>
        <w:rPr/>
        <w:t>middle East,</w:t>
      </w:r>
    </w:p>
    <w:p>
      <w:pPr>
        <w:pStyle w:val="BodyText"/>
        <w:rPr>
          <w:sz w:val="34"/>
        </w:rPr>
      </w:pPr>
    </w:p>
    <w:p>
      <w:pPr>
        <w:spacing w:line="369" w:lineRule="auto" w:before="0"/>
        <w:ind w:left="171" w:right="171" w:firstLine="676"/>
        <w:jc w:val="both"/>
        <w:rPr>
          <w:sz w:val="22"/>
        </w:rPr>
      </w:pPr>
      <w:r>
        <w:rPr>
          <w:b/>
          <w:sz w:val="22"/>
          <w:u w:val="single"/>
        </w:rPr>
        <w:t>Noting</w:t>
      </w:r>
      <w:r>
        <w:rPr>
          <w:b/>
          <w:spacing w:val="32"/>
          <w:sz w:val="22"/>
          <w:u w:val="single"/>
        </w:rPr>
        <w:t> </w:t>
      </w:r>
      <w:r>
        <w:rPr>
          <w:b/>
          <w:sz w:val="22"/>
          <w:u w:val="single"/>
        </w:rPr>
        <w:t>with</w:t>
      </w:r>
      <w:r>
        <w:rPr>
          <w:b/>
          <w:spacing w:val="29"/>
          <w:sz w:val="22"/>
          <w:u w:val="single"/>
        </w:rPr>
        <w:t> </w:t>
      </w:r>
      <w:r>
        <w:rPr>
          <w:b/>
          <w:sz w:val="22"/>
          <w:u w:val="single"/>
        </w:rPr>
        <w:t>deep</w:t>
      </w:r>
      <w:r>
        <w:rPr>
          <w:b/>
          <w:spacing w:val="29"/>
          <w:sz w:val="22"/>
          <w:u w:val="single"/>
        </w:rPr>
        <w:t> </w:t>
      </w:r>
      <w:r>
        <w:rPr>
          <w:b/>
          <w:sz w:val="22"/>
          <w:u w:val="single"/>
        </w:rPr>
        <w:t>indignation</w:t>
      </w:r>
      <w:r>
        <w:rPr>
          <w:b/>
          <w:spacing w:val="38"/>
          <w:sz w:val="22"/>
        </w:rPr>
        <w:t> </w:t>
      </w:r>
      <w:r>
        <w:rPr>
          <w:sz w:val="22"/>
        </w:rPr>
        <w:t>Israel’s</w:t>
      </w:r>
      <w:r>
        <w:rPr>
          <w:spacing w:val="25"/>
          <w:sz w:val="22"/>
        </w:rPr>
        <w:t> </w:t>
      </w:r>
      <w:r>
        <w:rPr>
          <w:sz w:val="22"/>
        </w:rPr>
        <w:t>intransigent</w:t>
      </w:r>
      <w:r>
        <w:rPr>
          <w:spacing w:val="25"/>
          <w:sz w:val="22"/>
        </w:rPr>
        <w:t> </w:t>
      </w:r>
      <w:r>
        <w:rPr>
          <w:sz w:val="22"/>
        </w:rPr>
        <w:t>attitude</w:t>
      </w:r>
      <w:r>
        <w:rPr>
          <w:spacing w:val="25"/>
          <w:sz w:val="22"/>
        </w:rPr>
        <w:t> </w:t>
      </w:r>
      <w:r>
        <w:rPr>
          <w:sz w:val="22"/>
        </w:rPr>
        <w:t>and</w:t>
      </w:r>
      <w:r>
        <w:rPr>
          <w:spacing w:val="26"/>
          <w:sz w:val="22"/>
        </w:rPr>
        <w:t> </w:t>
      </w:r>
      <w:r>
        <w:rPr>
          <w:sz w:val="22"/>
        </w:rPr>
        <w:t>its</w:t>
      </w:r>
      <w:r>
        <w:rPr>
          <w:spacing w:val="25"/>
          <w:sz w:val="22"/>
        </w:rPr>
        <w:t> </w:t>
      </w:r>
      <w:r>
        <w:rPr>
          <w:sz w:val="22"/>
        </w:rPr>
        <w:t>continued</w:t>
      </w:r>
      <w:r>
        <w:rPr>
          <w:spacing w:val="26"/>
          <w:sz w:val="22"/>
        </w:rPr>
        <w:t> </w:t>
      </w:r>
      <w:r>
        <w:rPr>
          <w:sz w:val="22"/>
        </w:rPr>
        <w:t>refusal to abide by the United Nations’</w:t>
      </w:r>
      <w:r>
        <w:rPr>
          <w:spacing w:val="-13"/>
          <w:sz w:val="22"/>
        </w:rPr>
        <w:t> </w:t>
      </w:r>
      <w:r>
        <w:rPr>
          <w:sz w:val="22"/>
        </w:rPr>
        <w:t>Resolutions,</w:t>
      </w:r>
    </w:p>
    <w:p>
      <w:pPr>
        <w:pStyle w:val="BodyText"/>
        <w:spacing w:before="8"/>
        <w:rPr>
          <w:sz w:val="33"/>
        </w:rPr>
      </w:pPr>
    </w:p>
    <w:p>
      <w:pPr>
        <w:pStyle w:val="BodyText"/>
        <w:spacing w:line="369" w:lineRule="auto"/>
        <w:ind w:left="171" w:right="144" w:firstLine="676"/>
        <w:jc w:val="both"/>
      </w:pPr>
      <w:r>
        <w:rPr>
          <w:b/>
          <w:u w:val="single"/>
        </w:rPr>
        <w:t>Endorsing</w:t>
      </w:r>
      <w:r>
        <w:rPr>
          <w:b/>
        </w:rPr>
        <w:t> </w:t>
      </w:r>
      <w:r>
        <w:rPr/>
        <w:t>the report of the Administrative Secretary-General on the need to pool</w:t>
      </w:r>
      <w:r>
        <w:rPr>
          <w:spacing w:val="40"/>
        </w:rPr>
        <w:t> </w:t>
      </w:r>
      <w:r>
        <w:rPr/>
        <w:t>efforts for maintaining the momentum in the search for a just and lasting solution to the </w:t>
      </w:r>
      <w:r>
        <w:rPr>
          <w:spacing w:val="-2"/>
        </w:rPr>
        <w:t>problem,</w:t>
      </w:r>
    </w:p>
    <w:p>
      <w:pPr>
        <w:spacing w:after="0" w:line="369" w:lineRule="auto"/>
        <w:jc w:val="both"/>
        <w:sectPr>
          <w:headerReference w:type="default" r:id="rId5"/>
          <w:type w:val="continuous"/>
          <w:pgSz w:w="12240" w:h="15840"/>
          <w:pgMar w:header="701" w:footer="0" w:top="1260" w:bottom="280" w:left="1720" w:right="1720"/>
          <w:pgNumType w:start="1"/>
        </w:sectPr>
      </w:pPr>
    </w:p>
    <w:p>
      <w:pPr>
        <w:pStyle w:val="ListParagraph"/>
        <w:numPr>
          <w:ilvl w:val="0"/>
          <w:numId w:val="1"/>
        </w:numPr>
        <w:tabs>
          <w:tab w:pos="1189" w:val="left" w:leader="none"/>
        </w:tabs>
        <w:spacing w:line="369" w:lineRule="auto" w:before="85" w:after="0"/>
        <w:ind w:left="1188" w:right="154" w:hanging="341"/>
        <w:jc w:val="both"/>
        <w:rPr>
          <w:sz w:val="22"/>
        </w:rPr>
      </w:pPr>
      <w:r>
        <w:rPr>
          <w:b/>
          <w:sz w:val="22"/>
        </w:rPr>
        <w:t>CONDEMNS </w:t>
      </w:r>
      <w:r>
        <w:rPr>
          <w:sz w:val="22"/>
        </w:rPr>
        <w:t>Israel for its continued aggressive policy, refusal to implement and attempts to thwart UN Resolutions;</w:t>
      </w:r>
    </w:p>
    <w:p>
      <w:pPr>
        <w:pStyle w:val="BodyText"/>
        <w:spacing w:before="3"/>
        <w:rPr>
          <w:sz w:val="33"/>
        </w:rPr>
      </w:pPr>
    </w:p>
    <w:p>
      <w:pPr>
        <w:pStyle w:val="ListParagraph"/>
        <w:numPr>
          <w:ilvl w:val="0"/>
          <w:numId w:val="1"/>
        </w:numPr>
        <w:tabs>
          <w:tab w:pos="1189" w:val="left" w:leader="none"/>
        </w:tabs>
        <w:spacing w:line="369" w:lineRule="auto" w:before="0" w:after="0"/>
        <w:ind w:left="1188" w:right="146" w:hanging="341"/>
        <w:jc w:val="both"/>
        <w:rPr>
          <w:sz w:val="22"/>
        </w:rPr>
      </w:pPr>
      <w:r>
        <w:rPr>
          <w:b/>
          <w:sz w:val="22"/>
        </w:rPr>
        <w:t>REITERATES</w:t>
      </w:r>
      <w:r>
        <w:rPr>
          <w:b/>
          <w:spacing w:val="40"/>
          <w:sz w:val="22"/>
        </w:rPr>
        <w:t> </w:t>
      </w:r>
      <w:r>
        <w:rPr>
          <w:sz w:val="22"/>
        </w:rPr>
        <w:t>its</w:t>
      </w:r>
      <w:r>
        <w:rPr>
          <w:spacing w:val="40"/>
          <w:sz w:val="22"/>
        </w:rPr>
        <w:t> </w:t>
      </w:r>
      <w:r>
        <w:rPr>
          <w:sz w:val="22"/>
        </w:rPr>
        <w:t>total</w:t>
      </w:r>
      <w:r>
        <w:rPr>
          <w:spacing w:val="40"/>
          <w:sz w:val="22"/>
        </w:rPr>
        <w:t> </w:t>
      </w:r>
      <w:r>
        <w:rPr>
          <w:sz w:val="22"/>
        </w:rPr>
        <w:t>and</w:t>
      </w:r>
      <w:r>
        <w:rPr>
          <w:spacing w:val="40"/>
          <w:sz w:val="22"/>
        </w:rPr>
        <w:t> </w:t>
      </w:r>
      <w:r>
        <w:rPr>
          <w:sz w:val="22"/>
        </w:rPr>
        <w:t>effective</w:t>
      </w:r>
      <w:r>
        <w:rPr>
          <w:spacing w:val="40"/>
          <w:sz w:val="22"/>
        </w:rPr>
        <w:t> </w:t>
      </w:r>
      <w:r>
        <w:rPr>
          <w:sz w:val="22"/>
        </w:rPr>
        <w:t>support</w:t>
      </w:r>
      <w:r>
        <w:rPr>
          <w:spacing w:val="40"/>
          <w:sz w:val="22"/>
        </w:rPr>
        <w:t> </w:t>
      </w:r>
      <w:r>
        <w:rPr>
          <w:sz w:val="22"/>
        </w:rPr>
        <w:t>for</w:t>
      </w:r>
      <w:r>
        <w:rPr>
          <w:spacing w:val="40"/>
          <w:sz w:val="22"/>
        </w:rPr>
        <w:t> </w:t>
      </w:r>
      <w:r>
        <w:rPr>
          <w:sz w:val="22"/>
        </w:rPr>
        <w:t>Egypt,</w:t>
      </w:r>
      <w:r>
        <w:rPr>
          <w:spacing w:val="40"/>
          <w:sz w:val="22"/>
        </w:rPr>
        <w:t> </w:t>
      </w:r>
      <w:r>
        <w:rPr>
          <w:sz w:val="22"/>
        </w:rPr>
        <w:t>Arab</w:t>
      </w:r>
      <w:r>
        <w:rPr>
          <w:spacing w:val="40"/>
          <w:sz w:val="22"/>
        </w:rPr>
        <w:t> </w:t>
      </w:r>
      <w:r>
        <w:rPr>
          <w:sz w:val="22"/>
        </w:rPr>
        <w:t>Frontline</w:t>
      </w:r>
      <w:r>
        <w:rPr>
          <w:spacing w:val="40"/>
          <w:sz w:val="22"/>
        </w:rPr>
        <w:t> </w:t>
      </w:r>
      <w:r>
        <w:rPr>
          <w:sz w:val="22"/>
        </w:rPr>
        <w:t>States and</w:t>
      </w:r>
      <w:r>
        <w:rPr>
          <w:spacing w:val="40"/>
          <w:sz w:val="22"/>
        </w:rPr>
        <w:t> </w:t>
      </w:r>
      <w:r>
        <w:rPr>
          <w:sz w:val="22"/>
        </w:rPr>
        <w:t>the Palestine People in their legitimate struggle to</w:t>
      </w:r>
      <w:r>
        <w:rPr>
          <w:spacing w:val="40"/>
          <w:sz w:val="22"/>
        </w:rPr>
        <w:t> </w:t>
      </w:r>
      <w:r>
        <w:rPr>
          <w:sz w:val="22"/>
        </w:rPr>
        <w:t>recover all the Arab</w:t>
      </w:r>
      <w:r>
        <w:rPr>
          <w:spacing w:val="40"/>
          <w:sz w:val="22"/>
        </w:rPr>
        <w:t> </w:t>
      </w:r>
      <w:r>
        <w:rPr>
          <w:sz w:val="22"/>
        </w:rPr>
        <w:t>occupied territories and to restore the Palestinian people their usurped rights by every possible means;</w:t>
      </w:r>
    </w:p>
    <w:p>
      <w:pPr>
        <w:pStyle w:val="BodyText"/>
        <w:rPr>
          <w:sz w:val="34"/>
        </w:rPr>
      </w:pPr>
    </w:p>
    <w:p>
      <w:pPr>
        <w:pStyle w:val="ListParagraph"/>
        <w:numPr>
          <w:ilvl w:val="0"/>
          <w:numId w:val="1"/>
        </w:numPr>
        <w:tabs>
          <w:tab w:pos="1189" w:val="left" w:leader="none"/>
        </w:tabs>
        <w:spacing w:line="369" w:lineRule="auto" w:before="0" w:after="0"/>
        <w:ind w:left="1188" w:right="151" w:hanging="341"/>
        <w:jc w:val="both"/>
        <w:rPr>
          <w:sz w:val="22"/>
        </w:rPr>
      </w:pPr>
      <w:r>
        <w:rPr>
          <w:b/>
          <w:sz w:val="22"/>
        </w:rPr>
        <w:t>REAFFIRMS </w:t>
      </w:r>
      <w:r>
        <w:rPr>
          <w:sz w:val="22"/>
        </w:rPr>
        <w:t>that the Palestinian problem is a political problem of a people struggling for their rights and the fulfillment of their aspirations and that there cannot therefore, be peace</w:t>
      </w:r>
      <w:r>
        <w:rPr>
          <w:spacing w:val="27"/>
          <w:sz w:val="22"/>
        </w:rPr>
        <w:t> </w:t>
      </w:r>
      <w:r>
        <w:rPr>
          <w:sz w:val="22"/>
        </w:rPr>
        <w:t>in the region unless the legitimate rights and aspirations to nationhood of the Palestinian people are taken into consideration;</w:t>
      </w:r>
    </w:p>
    <w:p>
      <w:pPr>
        <w:pStyle w:val="BodyText"/>
        <w:spacing w:before="11"/>
        <w:rPr>
          <w:sz w:val="33"/>
        </w:rPr>
      </w:pPr>
    </w:p>
    <w:p>
      <w:pPr>
        <w:pStyle w:val="ListParagraph"/>
        <w:numPr>
          <w:ilvl w:val="0"/>
          <w:numId w:val="1"/>
        </w:numPr>
        <w:tabs>
          <w:tab w:pos="1189" w:val="left" w:leader="none"/>
        </w:tabs>
        <w:spacing w:line="369" w:lineRule="auto" w:before="0" w:after="0"/>
        <w:ind w:left="1188" w:right="144" w:hanging="341"/>
        <w:jc w:val="both"/>
        <w:rPr>
          <w:sz w:val="22"/>
        </w:rPr>
      </w:pPr>
      <w:r>
        <w:rPr>
          <w:b/>
          <w:sz w:val="22"/>
        </w:rPr>
        <w:t>DEEMS </w:t>
      </w:r>
      <w:r>
        <w:rPr>
          <w:sz w:val="22"/>
        </w:rPr>
        <w:t>it essential that the UN Geneva Conference on the Middle East should</w:t>
      </w:r>
      <w:r>
        <w:rPr>
          <w:spacing w:val="40"/>
          <w:sz w:val="22"/>
        </w:rPr>
        <w:t> </w:t>
      </w:r>
      <w:r>
        <w:rPr>
          <w:sz w:val="22"/>
        </w:rPr>
        <w:t>meet as soon as possible to consider the Middle East problem on its entirely and</w:t>
      </w:r>
      <w:r>
        <w:rPr>
          <w:spacing w:val="80"/>
          <w:sz w:val="22"/>
        </w:rPr>
        <w:t> </w:t>
      </w:r>
      <w:r>
        <w:rPr>
          <w:sz w:val="22"/>
        </w:rPr>
        <w:t>that the Palestinian Liberation Organization, the only legitimate representative of</w:t>
      </w:r>
      <w:r>
        <w:rPr>
          <w:spacing w:val="80"/>
          <w:sz w:val="22"/>
        </w:rPr>
        <w:t> </w:t>
      </w:r>
      <w:r>
        <w:rPr>
          <w:sz w:val="22"/>
        </w:rPr>
        <w:t>the Palestinian people, attends on the same footing as the other parties;</w:t>
      </w:r>
    </w:p>
    <w:p>
      <w:pPr>
        <w:pStyle w:val="BodyText"/>
        <w:spacing w:before="6"/>
        <w:rPr>
          <w:sz w:val="33"/>
        </w:rPr>
      </w:pPr>
    </w:p>
    <w:p>
      <w:pPr>
        <w:pStyle w:val="ListParagraph"/>
        <w:numPr>
          <w:ilvl w:val="0"/>
          <w:numId w:val="1"/>
        </w:numPr>
        <w:tabs>
          <w:tab w:pos="1189" w:val="left" w:leader="none"/>
        </w:tabs>
        <w:spacing w:line="369" w:lineRule="auto" w:before="0" w:after="0"/>
        <w:ind w:left="1188" w:right="137" w:hanging="341"/>
        <w:jc w:val="both"/>
        <w:rPr>
          <w:sz w:val="22"/>
        </w:rPr>
      </w:pPr>
      <w:r>
        <w:rPr>
          <w:b/>
          <w:sz w:val="22"/>
        </w:rPr>
        <w:t>REQUESTS </w:t>
      </w:r>
      <w:r>
        <w:rPr>
          <w:sz w:val="22"/>
        </w:rPr>
        <w:t>the OAU Administrative Secretary-General to continue to follow-up the matter and to submit a report, on its development to the 27</w:t>
      </w:r>
      <w:r>
        <w:rPr>
          <w:spacing w:val="-14"/>
          <w:sz w:val="22"/>
        </w:rPr>
        <w:t> </w:t>
      </w:r>
      <w:r>
        <w:rPr>
          <w:sz w:val="22"/>
          <w:vertAlign w:val="superscript"/>
        </w:rPr>
        <w:t>th</w:t>
      </w:r>
      <w:r>
        <w:rPr>
          <w:sz w:val="22"/>
          <w:vertAlign w:val="baseline"/>
        </w:rPr>
        <w:t> Session of the Council of Ministers.</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9.23999pt;margin-top:34.068241pt;width:100.6pt;height:14.5pt;mso-position-horizontal-relative:page;mso-position-vertical-relative:page;z-index:-15760896" type="#_x0000_t202" id="docshape1" filled="false" stroked="false">
          <v:textbox inset="0,0,0,0">
            <w:txbxContent>
              <w:p>
                <w:pPr>
                  <w:pStyle w:val="BodyText"/>
                  <w:spacing w:before="15"/>
                  <w:ind w:left="20"/>
                </w:pPr>
                <w:r>
                  <w:rPr/>
                  <w:t>CM/Res.</w:t>
                </w:r>
                <w:r>
                  <w:rPr>
                    <w:spacing w:val="12"/>
                  </w:rPr>
                  <w:t> </w:t>
                </w:r>
                <w:r>
                  <w:rPr/>
                  <w:t>459</w:t>
                </w:r>
                <w:r>
                  <w:rPr>
                    <w:spacing w:val="13"/>
                  </w:rPr>
                  <w:t> </w:t>
                </w:r>
                <w:r>
                  <w:rPr>
                    <w:spacing w:val="-2"/>
                  </w:rPr>
                  <w:t>(XXVI)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42" w:hanging="341"/>
      </w:pPr>
      <w:rPr>
        <w:rFonts w:hint="default"/>
        <w:lang w:val="en-US" w:eastAsia="en-US" w:bidi="ar-SA"/>
      </w:rPr>
    </w:lvl>
    <w:lvl w:ilvl="2">
      <w:start w:val="0"/>
      <w:numFmt w:val="bullet"/>
      <w:lvlText w:val="•"/>
      <w:lvlJc w:val="left"/>
      <w:pPr>
        <w:ind w:left="2704" w:hanging="341"/>
      </w:pPr>
      <w:rPr>
        <w:rFonts w:hint="default"/>
        <w:lang w:val="en-US" w:eastAsia="en-US" w:bidi="ar-SA"/>
      </w:rPr>
    </w:lvl>
    <w:lvl w:ilvl="3">
      <w:start w:val="0"/>
      <w:numFmt w:val="bullet"/>
      <w:lvlText w:val="•"/>
      <w:lvlJc w:val="left"/>
      <w:pPr>
        <w:ind w:left="3466" w:hanging="341"/>
      </w:pPr>
      <w:rPr>
        <w:rFonts w:hint="default"/>
        <w:lang w:val="en-US" w:eastAsia="en-US" w:bidi="ar-SA"/>
      </w:rPr>
    </w:lvl>
    <w:lvl w:ilvl="4">
      <w:start w:val="0"/>
      <w:numFmt w:val="bullet"/>
      <w:lvlText w:val="•"/>
      <w:lvlJc w:val="left"/>
      <w:pPr>
        <w:ind w:left="4228" w:hanging="341"/>
      </w:pPr>
      <w:rPr>
        <w:rFonts w:hint="default"/>
        <w:lang w:val="en-US" w:eastAsia="en-US" w:bidi="ar-SA"/>
      </w:rPr>
    </w:lvl>
    <w:lvl w:ilvl="5">
      <w:start w:val="0"/>
      <w:numFmt w:val="bullet"/>
      <w:lvlText w:val="•"/>
      <w:lvlJc w:val="left"/>
      <w:pPr>
        <w:ind w:left="4990" w:hanging="341"/>
      </w:pPr>
      <w:rPr>
        <w:rFonts w:hint="default"/>
        <w:lang w:val="en-US" w:eastAsia="en-US" w:bidi="ar-SA"/>
      </w:rPr>
    </w:lvl>
    <w:lvl w:ilvl="6">
      <w:start w:val="0"/>
      <w:numFmt w:val="bullet"/>
      <w:lvlText w:val="•"/>
      <w:lvlJc w:val="left"/>
      <w:pPr>
        <w:ind w:left="5752" w:hanging="341"/>
      </w:pPr>
      <w:rPr>
        <w:rFonts w:hint="default"/>
        <w:lang w:val="en-US" w:eastAsia="en-US" w:bidi="ar-SA"/>
      </w:rPr>
    </w:lvl>
    <w:lvl w:ilvl="7">
      <w:start w:val="0"/>
      <w:numFmt w:val="bullet"/>
      <w:lvlText w:val="•"/>
      <w:lvlJc w:val="left"/>
      <w:pPr>
        <w:ind w:left="6514" w:hanging="341"/>
      </w:pPr>
      <w:rPr>
        <w:rFonts w:hint="default"/>
        <w:lang w:val="en-US" w:eastAsia="en-US" w:bidi="ar-SA"/>
      </w:rPr>
    </w:lvl>
    <w:lvl w:ilvl="8">
      <w:start w:val="0"/>
      <w:numFmt w:val="bullet"/>
      <w:lvlText w:val="•"/>
      <w:lvlJc w:val="left"/>
      <w:pPr>
        <w:ind w:left="7276"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3636" w:hanging="2765"/>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137"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TWENTY-SIXTH ORDINARY SESSION OF THE COUNCIL OF MINISTERS</dc:title>
  <dcterms:created xsi:type="dcterms:W3CDTF">2023-06-07T08:48:13Z</dcterms:created>
  <dcterms:modified xsi:type="dcterms:W3CDTF">2023-06-07T08:48:13Z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