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1"/>
        </w:rPr>
      </w:pPr>
    </w:p>
    <w:p>
      <w:pPr>
        <w:pStyle w:val="Title"/>
        <w:spacing w:line="374" w:lineRule="auto"/>
        <w:rPr>
          <w:u w:val="none"/>
        </w:rPr>
      </w:pPr>
      <w:r>
        <w:rPr>
          <w:u w:val="single"/>
        </w:rPr>
        <w:t>RESOLUTION ON THE SO-CALLED FRENCH SOMALILAND</w:t>
      </w:r>
      <w:r>
        <w:rPr>
          <w:u w:val="none"/>
        </w:rPr>
        <w:t> </w:t>
      </w:r>
      <w:r>
        <w:rPr>
          <w:spacing w:val="-2"/>
          <w:u w:val="single"/>
        </w:rPr>
        <w:t>(DJIBOUTI)</w:t>
      </w:r>
    </w:p>
    <w:p>
      <w:pPr>
        <w:pStyle w:val="BodyText"/>
        <w:spacing w:before="7"/>
        <w:rPr>
          <w:b/>
          <w:sz w:val="21"/>
        </w:rPr>
      </w:pPr>
    </w:p>
    <w:p>
      <w:pPr>
        <w:pStyle w:val="BodyText"/>
        <w:spacing w:line="369" w:lineRule="auto" w:before="128"/>
        <w:ind w:left="171" w:right="106" w:firstLine="676"/>
        <w:jc w:val="both"/>
      </w:pPr>
      <w:r>
        <w:rPr/>
        <w:t>The</w:t>
      </w:r>
      <w:r>
        <w:rPr>
          <w:spacing w:val="40"/>
        </w:rPr>
        <w:t> </w:t>
      </w:r>
      <w:r>
        <w:rPr/>
        <w:t>Council</w:t>
      </w:r>
      <w:r>
        <w:rPr>
          <w:spacing w:val="40"/>
        </w:rPr>
        <w:t> </w:t>
      </w:r>
      <w:r>
        <w:rPr/>
        <w:t>of</w:t>
      </w:r>
      <w:r>
        <w:rPr>
          <w:spacing w:val="40"/>
        </w:rPr>
        <w:t> </w:t>
      </w:r>
      <w:r>
        <w:rPr/>
        <w:t>Ministers</w:t>
      </w:r>
      <w:r>
        <w:rPr>
          <w:spacing w:val="40"/>
        </w:rPr>
        <w:t> </w:t>
      </w:r>
      <w:r>
        <w:rPr/>
        <w:t>of</w:t>
      </w:r>
      <w:r>
        <w:rPr>
          <w:spacing w:val="40"/>
        </w:rPr>
        <w:t> </w:t>
      </w:r>
      <w:r>
        <w:rPr/>
        <w:t>the</w:t>
      </w:r>
      <w:r>
        <w:rPr>
          <w:spacing w:val="40"/>
        </w:rPr>
        <w:t> </w:t>
      </w:r>
      <w:r>
        <w:rPr/>
        <w:t>Organization</w:t>
      </w:r>
      <w:r>
        <w:rPr>
          <w:spacing w:val="40"/>
        </w:rPr>
        <w:t> </w:t>
      </w:r>
      <w:r>
        <w:rPr/>
        <w:t>of</w:t>
      </w:r>
      <w:r>
        <w:rPr>
          <w:spacing w:val="40"/>
        </w:rPr>
        <w:t> </w:t>
      </w:r>
      <w:r>
        <w:rPr/>
        <w:t>African</w:t>
      </w:r>
      <w:r>
        <w:rPr>
          <w:spacing w:val="40"/>
        </w:rPr>
        <w:t> </w:t>
      </w:r>
      <w:r>
        <w:rPr/>
        <w:t>Unity,</w:t>
      </w:r>
      <w:r>
        <w:rPr>
          <w:spacing w:val="40"/>
        </w:rPr>
        <w:t> </w:t>
      </w:r>
      <w:r>
        <w:rPr/>
        <w:t>meeting</w:t>
      </w:r>
      <w:r>
        <w:rPr>
          <w:spacing w:val="40"/>
        </w:rPr>
        <w:t> </w:t>
      </w:r>
      <w:r>
        <w:rPr/>
        <w:t>in</w:t>
      </w:r>
      <w:r>
        <w:rPr>
          <w:spacing w:val="40"/>
        </w:rPr>
        <w:t> </w:t>
      </w:r>
      <w:r>
        <w:rPr/>
        <w:t>its</w:t>
      </w:r>
      <w:r>
        <w:rPr>
          <w:spacing w:val="40"/>
        </w:rPr>
        <w:t> </w:t>
      </w:r>
      <w:r>
        <w:rPr/>
        <w:t>27</w:t>
      </w:r>
      <w:r>
        <w:rPr>
          <w:vertAlign w:val="superscript"/>
        </w:rPr>
        <w:t>th</w:t>
      </w:r>
      <w:r>
        <w:rPr>
          <w:vertAlign w:val="baseline"/>
        </w:rPr>
        <w:t> Ordinary Session in Port Louis, Mauritius, from 24</w:t>
      </w:r>
      <w:r>
        <w:rPr>
          <w:vertAlign w:val="superscript"/>
        </w:rPr>
        <w:t>th</w:t>
      </w:r>
      <w:r>
        <w:rPr>
          <w:vertAlign w:val="baseline"/>
        </w:rPr>
        <w:t> June to 3</w:t>
      </w:r>
      <w:r>
        <w:rPr>
          <w:vertAlign w:val="superscript"/>
        </w:rPr>
        <w:t>rd</w:t>
      </w:r>
      <w:r>
        <w:rPr>
          <w:vertAlign w:val="baseline"/>
        </w:rPr>
        <w:t> July, 1976.</w:t>
      </w:r>
    </w:p>
    <w:p>
      <w:pPr>
        <w:pStyle w:val="BodyText"/>
        <w:spacing w:before="8"/>
        <w:rPr>
          <w:sz w:val="33"/>
        </w:rPr>
      </w:pPr>
    </w:p>
    <w:p>
      <w:pPr>
        <w:pStyle w:val="BodyText"/>
        <w:spacing w:line="369" w:lineRule="auto"/>
        <w:ind w:left="171" w:right="109" w:firstLine="676"/>
        <w:jc w:val="both"/>
      </w:pPr>
      <w:r>
        <w:rPr>
          <w:b/>
          <w:u w:val="single"/>
        </w:rPr>
        <w:t>Having considered</w:t>
      </w:r>
      <w:r>
        <w:rPr>
          <w:b/>
        </w:rPr>
        <w:t> </w:t>
      </w:r>
      <w:r>
        <w:rPr/>
        <w:t>the report of the OAU Fact-Finding Mission to the So-called French Somaliland (Djibouti) and the report of the 27</w:t>
      </w:r>
      <w:r>
        <w:rPr>
          <w:vertAlign w:val="superscript"/>
        </w:rPr>
        <w:t>th</w:t>
      </w:r>
      <w:r>
        <w:rPr>
          <w:vertAlign w:val="baseline"/>
        </w:rPr>
        <w:t> Ordinary Session of the OAU Co-ordinating Committee for the Liberation of Africa;</w:t>
      </w:r>
    </w:p>
    <w:p>
      <w:pPr>
        <w:pStyle w:val="BodyText"/>
        <w:spacing w:before="8"/>
        <w:rPr>
          <w:sz w:val="25"/>
        </w:rPr>
      </w:pPr>
    </w:p>
    <w:p>
      <w:pPr>
        <w:pStyle w:val="BodyText"/>
        <w:spacing w:before="96"/>
        <w:ind w:left="848"/>
      </w:pPr>
      <w:r>
        <w:rPr>
          <w:b/>
          <w:u w:val="single"/>
        </w:rPr>
        <w:t>Recalling</w:t>
      </w:r>
      <w:r>
        <w:rPr>
          <w:b/>
          <w:spacing w:val="14"/>
        </w:rPr>
        <w:t> </w:t>
      </w:r>
      <w:r>
        <w:rPr/>
        <w:t>the</w:t>
      </w:r>
      <w:r>
        <w:rPr>
          <w:spacing w:val="8"/>
        </w:rPr>
        <w:t> </w:t>
      </w:r>
      <w:r>
        <w:rPr/>
        <w:t>objectives</w:t>
      </w:r>
      <w:r>
        <w:rPr>
          <w:spacing w:val="8"/>
        </w:rPr>
        <w:t> </w:t>
      </w:r>
      <w:r>
        <w:rPr/>
        <w:t>and</w:t>
      </w:r>
      <w:r>
        <w:rPr>
          <w:spacing w:val="8"/>
        </w:rPr>
        <w:t> </w:t>
      </w:r>
      <w:r>
        <w:rPr/>
        <w:t>principles</w:t>
      </w:r>
      <w:r>
        <w:rPr>
          <w:spacing w:val="8"/>
        </w:rPr>
        <w:t> </w:t>
      </w:r>
      <w:r>
        <w:rPr/>
        <w:t>enshrined</w:t>
      </w:r>
      <w:r>
        <w:rPr>
          <w:spacing w:val="9"/>
        </w:rPr>
        <w:t> </w:t>
      </w:r>
      <w:r>
        <w:rPr/>
        <w:t>in</w:t>
      </w:r>
      <w:r>
        <w:rPr>
          <w:spacing w:val="8"/>
        </w:rPr>
        <w:t> </w:t>
      </w:r>
      <w:r>
        <w:rPr/>
        <w:t>Articles</w:t>
      </w:r>
      <w:r>
        <w:rPr>
          <w:spacing w:val="8"/>
        </w:rPr>
        <w:t> </w:t>
      </w:r>
      <w:r>
        <w:rPr/>
        <w:t>2</w:t>
      </w:r>
      <w:r>
        <w:rPr>
          <w:spacing w:val="8"/>
        </w:rPr>
        <w:t> </w:t>
      </w:r>
      <w:r>
        <w:rPr/>
        <w:t>and</w:t>
      </w:r>
      <w:r>
        <w:rPr>
          <w:spacing w:val="9"/>
        </w:rPr>
        <w:t> </w:t>
      </w:r>
      <w:r>
        <w:rPr/>
        <w:t>3</w:t>
      </w:r>
      <w:r>
        <w:rPr>
          <w:spacing w:val="8"/>
        </w:rPr>
        <w:t> </w:t>
      </w:r>
      <w:r>
        <w:rPr/>
        <w:t>of</w:t>
      </w:r>
      <w:r>
        <w:rPr>
          <w:spacing w:val="8"/>
        </w:rPr>
        <w:t> </w:t>
      </w:r>
      <w:r>
        <w:rPr/>
        <w:t>the</w:t>
      </w:r>
      <w:r>
        <w:rPr>
          <w:spacing w:val="8"/>
        </w:rPr>
        <w:t> </w:t>
      </w:r>
      <w:r>
        <w:rPr/>
        <w:t>Charted</w:t>
      </w:r>
      <w:r>
        <w:rPr>
          <w:spacing w:val="8"/>
        </w:rPr>
        <w:t> </w:t>
      </w:r>
      <w:r>
        <w:rPr/>
        <w:t>of</w:t>
      </w:r>
      <w:r>
        <w:rPr>
          <w:spacing w:val="9"/>
        </w:rPr>
        <w:t> </w:t>
      </w:r>
      <w:r>
        <w:rPr>
          <w:spacing w:val="-5"/>
        </w:rPr>
        <w:t>the</w:t>
      </w:r>
    </w:p>
    <w:p>
      <w:pPr>
        <w:pStyle w:val="BodyText"/>
        <w:spacing w:before="131"/>
        <w:ind w:left="171"/>
      </w:pPr>
      <w:r>
        <w:rPr>
          <w:spacing w:val="-4"/>
        </w:rPr>
        <w:t>OAU;</w:t>
      </w:r>
    </w:p>
    <w:p>
      <w:pPr>
        <w:pStyle w:val="BodyText"/>
        <w:rPr>
          <w:sz w:val="20"/>
        </w:rPr>
      </w:pPr>
    </w:p>
    <w:p>
      <w:pPr>
        <w:pStyle w:val="BodyText"/>
        <w:spacing w:before="3"/>
        <w:rPr>
          <w:sz w:val="17"/>
        </w:rPr>
      </w:pPr>
    </w:p>
    <w:p>
      <w:pPr>
        <w:pStyle w:val="BodyText"/>
        <w:spacing w:line="372" w:lineRule="auto" w:before="96"/>
        <w:ind w:left="171" w:right="113" w:firstLine="676"/>
        <w:jc w:val="both"/>
      </w:pPr>
      <w:r>
        <w:rPr>
          <w:b/>
          <w:u w:val="single"/>
        </w:rPr>
        <w:t>Recalling also</w:t>
      </w:r>
      <w:r>
        <w:rPr>
          <w:b/>
          <w:spacing w:val="23"/>
        </w:rPr>
        <w:t> </w:t>
      </w:r>
      <w:r>
        <w:rPr/>
        <w:t>Resolution CM/431/Rev.1 (XXV) of the Council of Ministers of the OAU</w:t>
      </w:r>
      <w:r>
        <w:rPr>
          <w:spacing w:val="40"/>
        </w:rPr>
        <w:t> </w:t>
      </w:r>
      <w:r>
        <w:rPr/>
        <w:t>as adopted by the 12</w:t>
      </w:r>
      <w:r>
        <w:rPr>
          <w:vertAlign w:val="superscript"/>
        </w:rPr>
        <w:t>th</w:t>
      </w:r>
      <w:r>
        <w:rPr>
          <w:vertAlign w:val="baseline"/>
        </w:rPr>
        <w:t> Assembly of Heads of State and government in Kampala, and the UN General Assembly Resolution 3480 (XXX);</w:t>
      </w:r>
    </w:p>
    <w:p>
      <w:pPr>
        <w:pStyle w:val="BodyText"/>
        <w:spacing w:before="11"/>
        <w:rPr>
          <w:sz w:val="32"/>
        </w:rPr>
      </w:pPr>
    </w:p>
    <w:p>
      <w:pPr>
        <w:pStyle w:val="BodyText"/>
        <w:spacing w:line="369" w:lineRule="auto"/>
        <w:ind w:left="171" w:right="107" w:firstLine="676"/>
        <w:jc w:val="both"/>
      </w:pPr>
      <w:r>
        <w:rPr>
          <w:b/>
          <w:u w:val="single"/>
        </w:rPr>
        <w:t>Convinced</w:t>
      </w:r>
      <w:r>
        <w:rPr>
          <w:b/>
        </w:rPr>
        <w:t> </w:t>
      </w:r>
      <w:r>
        <w:rPr/>
        <w:t>that all Member States of the OAU can make tangible contributions for the achievement</w:t>
      </w:r>
      <w:r>
        <w:rPr>
          <w:spacing w:val="40"/>
        </w:rPr>
        <w:t> </w:t>
      </w:r>
      <w:r>
        <w:rPr/>
        <w:t>of</w:t>
      </w:r>
      <w:r>
        <w:rPr>
          <w:spacing w:val="40"/>
        </w:rPr>
        <w:t> </w:t>
      </w:r>
      <w:r>
        <w:rPr/>
        <w:t>immediate</w:t>
      </w:r>
      <w:r>
        <w:rPr>
          <w:spacing w:val="40"/>
        </w:rPr>
        <w:t> </w:t>
      </w:r>
      <w:r>
        <w:rPr/>
        <w:t>and</w:t>
      </w:r>
      <w:r>
        <w:rPr>
          <w:spacing w:val="40"/>
        </w:rPr>
        <w:t> </w:t>
      </w:r>
      <w:r>
        <w:rPr/>
        <w:t>unconditional</w:t>
      </w:r>
      <w:r>
        <w:rPr>
          <w:spacing w:val="40"/>
        </w:rPr>
        <w:t> </w:t>
      </w:r>
      <w:r>
        <w:rPr/>
        <w:t>independence</w:t>
      </w:r>
      <w:r>
        <w:rPr>
          <w:spacing w:val="40"/>
        </w:rPr>
        <w:t> </w:t>
      </w:r>
      <w:r>
        <w:rPr/>
        <w:t>by</w:t>
      </w:r>
      <w:r>
        <w:rPr>
          <w:spacing w:val="40"/>
        </w:rPr>
        <w:t> </w:t>
      </w:r>
      <w:r>
        <w:rPr/>
        <w:t>the</w:t>
      </w:r>
      <w:r>
        <w:rPr>
          <w:spacing w:val="40"/>
        </w:rPr>
        <w:t> </w:t>
      </w:r>
      <w:r>
        <w:rPr/>
        <w:t>people</w:t>
      </w:r>
      <w:r>
        <w:rPr>
          <w:spacing w:val="40"/>
        </w:rPr>
        <w:t> </w:t>
      </w:r>
      <w:r>
        <w:rPr/>
        <w:t>of</w:t>
      </w:r>
      <w:r>
        <w:rPr>
          <w:spacing w:val="40"/>
        </w:rPr>
        <w:t> </w:t>
      </w:r>
      <w:r>
        <w:rPr/>
        <w:t>the</w:t>
      </w:r>
      <w:r>
        <w:rPr>
          <w:spacing w:val="40"/>
        </w:rPr>
        <w:t> </w:t>
      </w:r>
      <w:r>
        <w:rPr/>
        <w:t>So-called French Somaliland (Djibouti) under conditions which would ensure a democratic process and recognition and respect for their independence and the integrity of their territory;</w:t>
      </w:r>
    </w:p>
    <w:p>
      <w:pPr>
        <w:pStyle w:val="BodyText"/>
        <w:spacing w:before="4"/>
        <w:rPr>
          <w:sz w:val="34"/>
        </w:rPr>
      </w:pPr>
    </w:p>
    <w:p>
      <w:pPr>
        <w:pStyle w:val="BodyText"/>
        <w:spacing w:line="367" w:lineRule="auto"/>
        <w:ind w:left="171" w:right="108" w:firstLine="676"/>
        <w:jc w:val="both"/>
      </w:pPr>
      <w:r>
        <w:rPr>
          <w:b/>
          <w:u w:val="single"/>
        </w:rPr>
        <w:t>Having registered</w:t>
      </w:r>
      <w:r>
        <w:rPr>
          <w:b/>
        </w:rPr>
        <w:t> </w:t>
      </w:r>
      <w:r>
        <w:rPr/>
        <w:t>the solemn declaration of the leaders of the Ethiopian and Somali delegations</w:t>
      </w:r>
      <w:r>
        <w:rPr>
          <w:spacing w:val="40"/>
        </w:rPr>
        <w:t> </w:t>
      </w:r>
      <w:r>
        <w:rPr/>
        <w:t>before</w:t>
      </w:r>
      <w:r>
        <w:rPr>
          <w:spacing w:val="40"/>
        </w:rPr>
        <w:t> </w:t>
      </w:r>
      <w:r>
        <w:rPr/>
        <w:t>the</w:t>
      </w:r>
      <w:r>
        <w:rPr>
          <w:spacing w:val="40"/>
        </w:rPr>
        <w:t> </w:t>
      </w:r>
      <w:r>
        <w:rPr/>
        <w:t>Council</w:t>
      </w:r>
      <w:r>
        <w:rPr>
          <w:spacing w:val="40"/>
        </w:rPr>
        <w:t> </w:t>
      </w:r>
      <w:r>
        <w:rPr/>
        <w:t>affirming</w:t>
      </w:r>
      <w:r>
        <w:rPr>
          <w:spacing w:val="40"/>
        </w:rPr>
        <w:t> </w:t>
      </w:r>
      <w:r>
        <w:rPr/>
        <w:t>on</w:t>
      </w:r>
      <w:r>
        <w:rPr>
          <w:spacing w:val="40"/>
        </w:rPr>
        <w:t> </w:t>
      </w:r>
      <w:r>
        <w:rPr/>
        <w:t>behalf</w:t>
      </w:r>
      <w:r>
        <w:rPr>
          <w:spacing w:val="40"/>
        </w:rPr>
        <w:t> </w:t>
      </w:r>
      <w:r>
        <w:rPr/>
        <w:t>of</w:t>
      </w:r>
      <w:r>
        <w:rPr>
          <w:spacing w:val="40"/>
        </w:rPr>
        <w:t> </w:t>
      </w:r>
      <w:r>
        <w:rPr/>
        <w:t>their</w:t>
      </w:r>
      <w:r>
        <w:rPr>
          <w:spacing w:val="40"/>
        </w:rPr>
        <w:t> </w:t>
      </w:r>
      <w:r>
        <w:rPr/>
        <w:t>respective</w:t>
      </w:r>
      <w:r>
        <w:rPr>
          <w:spacing w:val="40"/>
        </w:rPr>
        <w:t> </w:t>
      </w:r>
      <w:r>
        <w:rPr/>
        <w:t>Governments,</w:t>
      </w:r>
      <w:r>
        <w:rPr>
          <w:spacing w:val="40"/>
        </w:rPr>
        <w:t> </w:t>
      </w:r>
      <w:r>
        <w:rPr/>
        <w:t>to recognize, respect and honour the independence and sovereignty of the So-called French Somaliland (Djibouti) and its territorial integrity after its accession to independence,</w:t>
      </w:r>
    </w:p>
    <w:p>
      <w:pPr>
        <w:pStyle w:val="BodyText"/>
        <w:spacing w:before="5"/>
        <w:rPr>
          <w:sz w:val="34"/>
        </w:rPr>
      </w:pPr>
    </w:p>
    <w:p>
      <w:pPr>
        <w:pStyle w:val="ListParagraph"/>
        <w:numPr>
          <w:ilvl w:val="0"/>
          <w:numId w:val="1"/>
        </w:numPr>
        <w:tabs>
          <w:tab w:pos="1189" w:val="left" w:leader="none"/>
        </w:tabs>
        <w:spacing w:line="367" w:lineRule="auto" w:before="0" w:after="0"/>
        <w:ind w:left="1188" w:right="124" w:hanging="341"/>
        <w:jc w:val="both"/>
        <w:rPr>
          <w:sz w:val="22"/>
        </w:rPr>
      </w:pPr>
      <w:r>
        <w:rPr>
          <w:b/>
          <w:sz w:val="22"/>
        </w:rPr>
        <w:t>COMMENDS </w:t>
      </w:r>
      <w:r>
        <w:rPr>
          <w:sz w:val="22"/>
        </w:rPr>
        <w:t>the report of the Fact-Finding Missions and expresses its appreciation for the sense of objectivity and comprehensiveness of the Mission’s report in the realistic assessment of the political situation prevailing in the territory;</w:t>
      </w:r>
    </w:p>
    <w:p>
      <w:pPr>
        <w:spacing w:after="0" w:line="367" w:lineRule="auto"/>
        <w:jc w:val="both"/>
        <w:rPr>
          <w:sz w:val="22"/>
        </w:rPr>
        <w:sectPr>
          <w:headerReference w:type="default" r:id="rId5"/>
          <w:type w:val="continuous"/>
          <w:pgSz w:w="12240" w:h="15840"/>
          <w:pgMar w:header="700" w:footer="0" w:top="1420" w:bottom="280" w:left="1720" w:right="1440"/>
          <w:pgNumType w:start="13"/>
        </w:sectPr>
      </w:pPr>
    </w:p>
    <w:p>
      <w:pPr>
        <w:pStyle w:val="ListParagraph"/>
        <w:numPr>
          <w:ilvl w:val="0"/>
          <w:numId w:val="1"/>
        </w:numPr>
        <w:tabs>
          <w:tab w:pos="849" w:val="left" w:leader="none"/>
        </w:tabs>
        <w:spacing w:line="369" w:lineRule="auto" w:before="85" w:after="0"/>
        <w:ind w:left="847" w:right="108" w:hanging="336"/>
        <w:jc w:val="both"/>
        <w:rPr>
          <w:sz w:val="22"/>
        </w:rPr>
      </w:pPr>
      <w:r>
        <w:rPr>
          <w:b/>
          <w:sz w:val="22"/>
        </w:rPr>
        <w:t>APPROVES</w:t>
      </w:r>
      <w:r>
        <w:rPr>
          <w:b/>
          <w:spacing w:val="40"/>
          <w:sz w:val="22"/>
        </w:rPr>
        <w:t> </w:t>
      </w:r>
      <w:r>
        <w:rPr>
          <w:sz w:val="22"/>
        </w:rPr>
        <w:t>the</w:t>
      </w:r>
      <w:r>
        <w:rPr>
          <w:spacing w:val="40"/>
          <w:sz w:val="22"/>
        </w:rPr>
        <w:t> </w:t>
      </w:r>
      <w:r>
        <w:rPr>
          <w:sz w:val="22"/>
        </w:rPr>
        <w:t>recommendations</w:t>
      </w:r>
      <w:r>
        <w:rPr>
          <w:spacing w:val="40"/>
          <w:sz w:val="22"/>
        </w:rPr>
        <w:t> </w:t>
      </w:r>
      <w:r>
        <w:rPr>
          <w:sz w:val="22"/>
        </w:rPr>
        <w:t>contained</w:t>
      </w:r>
      <w:r>
        <w:rPr>
          <w:spacing w:val="40"/>
          <w:sz w:val="22"/>
        </w:rPr>
        <w:t> </w:t>
      </w:r>
      <w:r>
        <w:rPr>
          <w:sz w:val="22"/>
        </w:rPr>
        <w:t>in</w:t>
      </w:r>
      <w:r>
        <w:rPr>
          <w:spacing w:val="40"/>
          <w:sz w:val="22"/>
        </w:rPr>
        <w:t> </w:t>
      </w:r>
      <w:r>
        <w:rPr>
          <w:sz w:val="22"/>
        </w:rPr>
        <w:t>the</w:t>
      </w:r>
      <w:r>
        <w:rPr>
          <w:spacing w:val="40"/>
          <w:sz w:val="22"/>
        </w:rPr>
        <w:t> </w:t>
      </w:r>
      <w:r>
        <w:rPr>
          <w:sz w:val="22"/>
        </w:rPr>
        <w:t>report</w:t>
      </w:r>
      <w:r>
        <w:rPr>
          <w:spacing w:val="40"/>
          <w:sz w:val="22"/>
        </w:rPr>
        <w:t> </w:t>
      </w:r>
      <w:r>
        <w:rPr>
          <w:sz w:val="22"/>
        </w:rPr>
        <w:t>of</w:t>
      </w:r>
      <w:r>
        <w:rPr>
          <w:spacing w:val="40"/>
          <w:sz w:val="22"/>
        </w:rPr>
        <w:t> </w:t>
      </w:r>
      <w:r>
        <w:rPr>
          <w:sz w:val="22"/>
        </w:rPr>
        <w:t>the</w:t>
      </w:r>
      <w:r>
        <w:rPr>
          <w:spacing w:val="40"/>
          <w:sz w:val="22"/>
        </w:rPr>
        <w:t> </w:t>
      </w:r>
      <w:r>
        <w:rPr>
          <w:sz w:val="22"/>
        </w:rPr>
        <w:t>Fact-Finding Mission and</w:t>
      </w:r>
      <w:r>
        <w:rPr>
          <w:spacing w:val="38"/>
          <w:sz w:val="22"/>
        </w:rPr>
        <w:t> </w:t>
      </w:r>
      <w:r>
        <w:rPr>
          <w:sz w:val="22"/>
        </w:rPr>
        <w:t>observations</w:t>
      </w:r>
      <w:r>
        <w:rPr>
          <w:spacing w:val="37"/>
          <w:sz w:val="22"/>
        </w:rPr>
        <w:t> </w:t>
      </w:r>
      <w:r>
        <w:rPr>
          <w:sz w:val="22"/>
        </w:rPr>
        <w:t>thereon</w:t>
      </w:r>
      <w:r>
        <w:rPr>
          <w:spacing w:val="38"/>
          <w:sz w:val="22"/>
        </w:rPr>
        <w:t> </w:t>
      </w:r>
      <w:r>
        <w:rPr>
          <w:sz w:val="22"/>
        </w:rPr>
        <w:t>as</w:t>
      </w:r>
      <w:r>
        <w:rPr>
          <w:spacing w:val="37"/>
          <w:sz w:val="22"/>
        </w:rPr>
        <w:t> </w:t>
      </w:r>
      <w:r>
        <w:rPr>
          <w:sz w:val="22"/>
        </w:rPr>
        <w:t>well</w:t>
      </w:r>
      <w:r>
        <w:rPr>
          <w:spacing w:val="37"/>
          <w:sz w:val="22"/>
        </w:rPr>
        <w:t> </w:t>
      </w:r>
      <w:r>
        <w:rPr>
          <w:sz w:val="22"/>
        </w:rPr>
        <w:t>as</w:t>
      </w:r>
      <w:r>
        <w:rPr>
          <w:spacing w:val="37"/>
          <w:sz w:val="22"/>
        </w:rPr>
        <w:t> </w:t>
      </w:r>
      <w:r>
        <w:rPr>
          <w:sz w:val="22"/>
        </w:rPr>
        <w:t>the</w:t>
      </w:r>
      <w:r>
        <w:rPr>
          <w:spacing w:val="37"/>
          <w:sz w:val="22"/>
        </w:rPr>
        <w:t> </w:t>
      </w:r>
      <w:r>
        <w:rPr>
          <w:sz w:val="22"/>
        </w:rPr>
        <w:t>declaration</w:t>
      </w:r>
      <w:r>
        <w:rPr>
          <w:spacing w:val="38"/>
          <w:sz w:val="22"/>
        </w:rPr>
        <w:t> </w:t>
      </w:r>
      <w:r>
        <w:rPr>
          <w:sz w:val="22"/>
        </w:rPr>
        <w:t>of</w:t>
      </w:r>
      <w:r>
        <w:rPr>
          <w:spacing w:val="37"/>
          <w:sz w:val="22"/>
        </w:rPr>
        <w:t> </w:t>
      </w:r>
      <w:r>
        <w:rPr>
          <w:sz w:val="22"/>
        </w:rPr>
        <w:t>the</w:t>
      </w:r>
      <w:r>
        <w:rPr>
          <w:spacing w:val="37"/>
          <w:sz w:val="22"/>
        </w:rPr>
        <w:t> </w:t>
      </w:r>
      <w:r>
        <w:rPr>
          <w:sz w:val="22"/>
        </w:rPr>
        <w:t>27</w:t>
      </w:r>
      <w:r>
        <w:rPr>
          <w:sz w:val="22"/>
          <w:vertAlign w:val="superscript"/>
        </w:rPr>
        <w:t>t</w:t>
      </w:r>
      <w:r>
        <w:rPr>
          <w:sz w:val="22"/>
          <w:vertAlign w:val="superscript"/>
        </w:rPr>
        <w:t>h</w:t>
      </w:r>
      <w:r>
        <w:rPr>
          <w:spacing w:val="38"/>
          <w:sz w:val="22"/>
          <w:vertAlign w:val="baseline"/>
        </w:rPr>
        <w:t> </w:t>
      </w:r>
      <w:r>
        <w:rPr>
          <w:sz w:val="22"/>
          <w:vertAlign w:val="baseline"/>
        </w:rPr>
        <w:t>Ordinary</w:t>
      </w:r>
      <w:r>
        <w:rPr>
          <w:spacing w:val="38"/>
          <w:sz w:val="22"/>
          <w:vertAlign w:val="baseline"/>
        </w:rPr>
        <w:t> </w:t>
      </w:r>
      <w:r>
        <w:rPr>
          <w:sz w:val="22"/>
          <w:vertAlign w:val="baseline"/>
        </w:rPr>
        <w:t>Session</w:t>
      </w:r>
      <w:r>
        <w:rPr>
          <w:spacing w:val="38"/>
          <w:sz w:val="22"/>
          <w:vertAlign w:val="baseline"/>
        </w:rPr>
        <w:t> </w:t>
      </w:r>
      <w:r>
        <w:rPr>
          <w:sz w:val="22"/>
          <w:vertAlign w:val="baseline"/>
        </w:rPr>
        <w:t>of</w:t>
      </w:r>
      <w:r>
        <w:rPr>
          <w:spacing w:val="38"/>
          <w:sz w:val="22"/>
          <w:vertAlign w:val="baseline"/>
        </w:rPr>
        <w:t> </w:t>
      </w:r>
      <w:r>
        <w:rPr>
          <w:sz w:val="22"/>
          <w:vertAlign w:val="baseline"/>
        </w:rPr>
        <w:t>the Co-ordinating Committee for the Liberation of Africa, together with proposals of Sierra Leone as contained in the council’s report;</w:t>
      </w:r>
    </w:p>
    <w:p>
      <w:pPr>
        <w:pStyle w:val="BodyText"/>
        <w:spacing w:before="6"/>
        <w:rPr>
          <w:sz w:val="33"/>
        </w:rPr>
      </w:pPr>
    </w:p>
    <w:p>
      <w:pPr>
        <w:pStyle w:val="ListParagraph"/>
        <w:numPr>
          <w:ilvl w:val="0"/>
          <w:numId w:val="1"/>
        </w:numPr>
        <w:tabs>
          <w:tab w:pos="849" w:val="left" w:leader="none"/>
        </w:tabs>
        <w:spacing w:line="240" w:lineRule="auto" w:before="1" w:after="0"/>
        <w:ind w:left="848" w:right="0" w:hanging="337"/>
        <w:jc w:val="left"/>
        <w:rPr>
          <w:sz w:val="22"/>
        </w:rPr>
      </w:pPr>
      <w:r>
        <w:rPr>
          <w:b/>
          <w:sz w:val="22"/>
        </w:rPr>
        <w:t>REAFFIRMS</w:t>
      </w:r>
      <w:r>
        <w:rPr>
          <w:b/>
          <w:spacing w:val="26"/>
          <w:sz w:val="22"/>
        </w:rPr>
        <w:t> </w:t>
      </w:r>
      <w:r>
        <w:rPr>
          <w:sz w:val="22"/>
        </w:rPr>
        <w:t>Resolution</w:t>
      </w:r>
      <w:r>
        <w:rPr>
          <w:spacing w:val="10"/>
          <w:sz w:val="22"/>
        </w:rPr>
        <w:t> </w:t>
      </w:r>
      <w:r>
        <w:rPr>
          <w:sz w:val="22"/>
        </w:rPr>
        <w:t>CM/Res.</w:t>
      </w:r>
      <w:r>
        <w:rPr>
          <w:spacing w:val="11"/>
          <w:sz w:val="22"/>
        </w:rPr>
        <w:t> </w:t>
      </w:r>
      <w:r>
        <w:rPr>
          <w:sz w:val="22"/>
        </w:rPr>
        <w:t>431/Rev.1</w:t>
      </w:r>
      <w:r>
        <w:rPr>
          <w:spacing w:val="10"/>
          <w:sz w:val="22"/>
        </w:rPr>
        <w:t> </w:t>
      </w:r>
      <w:r>
        <w:rPr>
          <w:spacing w:val="-2"/>
          <w:sz w:val="22"/>
        </w:rPr>
        <w:t>(XXV);</w:t>
      </w:r>
    </w:p>
    <w:p>
      <w:pPr>
        <w:pStyle w:val="BodyText"/>
        <w:rPr>
          <w:sz w:val="24"/>
        </w:rPr>
      </w:pPr>
    </w:p>
    <w:p>
      <w:pPr>
        <w:pStyle w:val="BodyText"/>
        <w:spacing w:before="7"/>
        <w:rPr>
          <w:sz w:val="21"/>
        </w:rPr>
      </w:pPr>
    </w:p>
    <w:p>
      <w:pPr>
        <w:pStyle w:val="ListParagraph"/>
        <w:numPr>
          <w:ilvl w:val="0"/>
          <w:numId w:val="1"/>
        </w:numPr>
        <w:tabs>
          <w:tab w:pos="849" w:val="left" w:leader="none"/>
        </w:tabs>
        <w:spacing w:line="369" w:lineRule="auto" w:before="0" w:after="0"/>
        <w:ind w:left="847" w:right="108" w:hanging="336"/>
        <w:jc w:val="both"/>
        <w:rPr>
          <w:sz w:val="22"/>
        </w:rPr>
      </w:pPr>
      <w:r>
        <w:rPr>
          <w:b/>
          <w:sz w:val="22"/>
        </w:rPr>
        <w:t>REAFFIRMS FURTHER </w:t>
      </w:r>
      <w:r>
        <w:rPr>
          <w:sz w:val="22"/>
        </w:rPr>
        <w:t>the inalienable right of the people of the so-called French Somaliland (Djibouti) to self-determination and calls upon all States to refrain from interfering in the internal affairs of that territory and to abstain from any action likely to impede</w:t>
      </w:r>
      <w:r>
        <w:rPr>
          <w:spacing w:val="40"/>
          <w:sz w:val="22"/>
        </w:rPr>
        <w:t> </w:t>
      </w:r>
      <w:r>
        <w:rPr>
          <w:sz w:val="22"/>
        </w:rPr>
        <w:t>or</w:t>
      </w:r>
      <w:r>
        <w:rPr>
          <w:spacing w:val="40"/>
          <w:sz w:val="22"/>
        </w:rPr>
        <w:t> </w:t>
      </w:r>
      <w:r>
        <w:rPr>
          <w:sz w:val="22"/>
        </w:rPr>
        <w:t>adversely</w:t>
      </w:r>
      <w:r>
        <w:rPr>
          <w:spacing w:val="40"/>
          <w:sz w:val="22"/>
        </w:rPr>
        <w:t> </w:t>
      </w:r>
      <w:r>
        <w:rPr>
          <w:sz w:val="22"/>
        </w:rPr>
        <w:t>affect</w:t>
      </w:r>
      <w:r>
        <w:rPr>
          <w:spacing w:val="40"/>
          <w:sz w:val="22"/>
        </w:rPr>
        <w:t> </w:t>
      </w:r>
      <w:r>
        <w:rPr>
          <w:sz w:val="22"/>
        </w:rPr>
        <w:t>the</w:t>
      </w:r>
      <w:r>
        <w:rPr>
          <w:spacing w:val="40"/>
          <w:sz w:val="22"/>
        </w:rPr>
        <w:t> </w:t>
      </w:r>
      <w:r>
        <w:rPr>
          <w:sz w:val="22"/>
        </w:rPr>
        <w:t>current</w:t>
      </w:r>
      <w:r>
        <w:rPr>
          <w:spacing w:val="40"/>
          <w:sz w:val="22"/>
        </w:rPr>
        <w:t> </w:t>
      </w:r>
      <w:r>
        <w:rPr>
          <w:sz w:val="22"/>
        </w:rPr>
        <w:t>process</w:t>
      </w:r>
      <w:r>
        <w:rPr>
          <w:spacing w:val="40"/>
          <w:sz w:val="22"/>
        </w:rPr>
        <w:t> </w:t>
      </w:r>
      <w:r>
        <w:rPr>
          <w:sz w:val="22"/>
        </w:rPr>
        <w:t>of</w:t>
      </w:r>
      <w:r>
        <w:rPr>
          <w:spacing w:val="40"/>
          <w:sz w:val="22"/>
        </w:rPr>
        <w:t> </w:t>
      </w:r>
      <w:r>
        <w:rPr>
          <w:sz w:val="22"/>
        </w:rPr>
        <w:t>the</w:t>
      </w:r>
      <w:r>
        <w:rPr>
          <w:spacing w:val="40"/>
          <w:sz w:val="22"/>
        </w:rPr>
        <w:t> </w:t>
      </w:r>
      <w:r>
        <w:rPr>
          <w:sz w:val="22"/>
        </w:rPr>
        <w:t>country’s</w:t>
      </w:r>
      <w:r>
        <w:rPr>
          <w:spacing w:val="40"/>
          <w:sz w:val="22"/>
        </w:rPr>
        <w:t> </w:t>
      </w:r>
      <w:r>
        <w:rPr>
          <w:sz w:val="22"/>
        </w:rPr>
        <w:t>accession</w:t>
      </w:r>
      <w:r>
        <w:rPr>
          <w:spacing w:val="40"/>
          <w:sz w:val="22"/>
        </w:rPr>
        <w:t> </w:t>
      </w:r>
      <w:r>
        <w:rPr>
          <w:sz w:val="22"/>
        </w:rPr>
        <w:t>to </w:t>
      </w:r>
      <w:r>
        <w:rPr>
          <w:spacing w:val="-2"/>
          <w:sz w:val="22"/>
        </w:rPr>
        <w:t>independence;</w:t>
      </w:r>
    </w:p>
    <w:p>
      <w:pPr>
        <w:pStyle w:val="BodyText"/>
        <w:spacing w:before="5"/>
        <w:rPr>
          <w:sz w:val="33"/>
        </w:rPr>
      </w:pPr>
    </w:p>
    <w:p>
      <w:pPr>
        <w:pStyle w:val="ListParagraph"/>
        <w:numPr>
          <w:ilvl w:val="0"/>
          <w:numId w:val="1"/>
        </w:numPr>
        <w:tabs>
          <w:tab w:pos="911" w:val="left" w:leader="none"/>
        </w:tabs>
        <w:spacing w:line="369" w:lineRule="auto" w:before="0" w:after="0"/>
        <w:ind w:left="847" w:right="108" w:hanging="336"/>
        <w:jc w:val="both"/>
        <w:rPr>
          <w:sz w:val="22"/>
        </w:rPr>
      </w:pPr>
      <w:r>
        <w:rPr/>
        <w:tab/>
      </w:r>
      <w:r>
        <w:rPr>
          <w:b/>
          <w:sz w:val="22"/>
        </w:rPr>
        <w:t>DEMANDS </w:t>
      </w:r>
      <w:r>
        <w:rPr>
          <w:sz w:val="22"/>
        </w:rPr>
        <w:t>that France urgently undertake the necessary measures for the creation of a conducive atmosphere for ensuring</w:t>
      </w:r>
      <w:r>
        <w:rPr>
          <w:spacing w:val="40"/>
          <w:sz w:val="22"/>
        </w:rPr>
        <w:t> </w:t>
      </w:r>
      <w:r>
        <w:rPr>
          <w:sz w:val="22"/>
        </w:rPr>
        <w:t>a peaceful, just and democratic process leading to immediate and unconditional independence and to that end accept and implement the relevant recommendations of the Fact-Finding Mission approved by the Council of </w:t>
      </w:r>
      <w:r>
        <w:rPr>
          <w:spacing w:val="-2"/>
          <w:sz w:val="22"/>
        </w:rPr>
        <w:t>Ministers;</w:t>
      </w:r>
    </w:p>
    <w:p>
      <w:pPr>
        <w:pStyle w:val="BodyText"/>
        <w:spacing w:before="10"/>
        <w:rPr>
          <w:sz w:val="33"/>
        </w:rPr>
      </w:pPr>
    </w:p>
    <w:p>
      <w:pPr>
        <w:pStyle w:val="ListParagraph"/>
        <w:numPr>
          <w:ilvl w:val="0"/>
          <w:numId w:val="1"/>
        </w:numPr>
        <w:tabs>
          <w:tab w:pos="849" w:val="left" w:leader="none"/>
        </w:tabs>
        <w:spacing w:line="369" w:lineRule="auto" w:before="0" w:after="0"/>
        <w:ind w:left="847" w:right="109" w:hanging="336"/>
        <w:jc w:val="both"/>
        <w:rPr>
          <w:sz w:val="22"/>
        </w:rPr>
      </w:pPr>
      <w:r>
        <w:rPr>
          <w:b/>
          <w:sz w:val="22"/>
        </w:rPr>
        <w:t>DEPLORES</w:t>
      </w:r>
      <w:r>
        <w:rPr>
          <w:b/>
          <w:spacing w:val="40"/>
          <w:sz w:val="22"/>
        </w:rPr>
        <w:t> </w:t>
      </w:r>
      <w:r>
        <w:rPr>
          <w:sz w:val="22"/>
        </w:rPr>
        <w:t>the</w:t>
      </w:r>
      <w:r>
        <w:rPr>
          <w:spacing w:val="40"/>
          <w:sz w:val="22"/>
        </w:rPr>
        <w:t> </w:t>
      </w:r>
      <w:r>
        <w:rPr>
          <w:sz w:val="22"/>
        </w:rPr>
        <w:t>maneuvers</w:t>
      </w:r>
      <w:r>
        <w:rPr>
          <w:spacing w:val="40"/>
          <w:sz w:val="22"/>
        </w:rPr>
        <w:t> </w:t>
      </w:r>
      <w:r>
        <w:rPr>
          <w:sz w:val="22"/>
        </w:rPr>
        <w:t>that</w:t>
      </w:r>
      <w:r>
        <w:rPr>
          <w:spacing w:val="40"/>
          <w:sz w:val="22"/>
        </w:rPr>
        <w:t> </w:t>
      </w:r>
      <w:r>
        <w:rPr>
          <w:sz w:val="22"/>
        </w:rPr>
        <w:t>have</w:t>
      </w:r>
      <w:r>
        <w:rPr>
          <w:spacing w:val="40"/>
          <w:sz w:val="22"/>
        </w:rPr>
        <w:t> </w:t>
      </w:r>
      <w:r>
        <w:rPr>
          <w:sz w:val="22"/>
        </w:rPr>
        <w:t>hitherto</w:t>
      </w:r>
      <w:r>
        <w:rPr>
          <w:spacing w:val="40"/>
          <w:sz w:val="22"/>
        </w:rPr>
        <w:t> </w:t>
      </w:r>
      <w:r>
        <w:rPr>
          <w:sz w:val="22"/>
        </w:rPr>
        <w:t>hindered</w:t>
      </w:r>
      <w:r>
        <w:rPr>
          <w:spacing w:val="40"/>
          <w:sz w:val="22"/>
        </w:rPr>
        <w:t> </w:t>
      </w:r>
      <w:r>
        <w:rPr>
          <w:sz w:val="22"/>
        </w:rPr>
        <w:t>the</w:t>
      </w:r>
      <w:r>
        <w:rPr>
          <w:spacing w:val="40"/>
          <w:sz w:val="22"/>
        </w:rPr>
        <w:t> </w:t>
      </w:r>
      <w:r>
        <w:rPr>
          <w:sz w:val="22"/>
        </w:rPr>
        <w:t>independence</w:t>
      </w:r>
      <w:r>
        <w:rPr>
          <w:spacing w:val="40"/>
          <w:sz w:val="22"/>
        </w:rPr>
        <w:t> </w:t>
      </w:r>
      <w:r>
        <w:rPr>
          <w:sz w:val="22"/>
        </w:rPr>
        <w:t>of</w:t>
      </w:r>
      <w:r>
        <w:rPr>
          <w:spacing w:val="40"/>
          <w:sz w:val="22"/>
        </w:rPr>
        <w:t> </w:t>
      </w:r>
      <w:r>
        <w:rPr>
          <w:sz w:val="22"/>
        </w:rPr>
        <w:t>the</w:t>
      </w:r>
      <w:r>
        <w:rPr>
          <w:spacing w:val="40"/>
          <w:sz w:val="22"/>
        </w:rPr>
        <w:t> </w:t>
      </w:r>
      <w:r>
        <w:rPr>
          <w:sz w:val="22"/>
        </w:rPr>
        <w:t>So- called French Somaliland (Djibouti) and call on France to proceed as soon as possible to settle the problems of nationality and the reform of the electoral list with the view of organizing the referendum before the end of 1976, and subsequent elections at an early</w:t>
      </w:r>
      <w:r>
        <w:rPr>
          <w:spacing w:val="80"/>
          <w:w w:val="150"/>
          <w:sz w:val="22"/>
        </w:rPr>
        <w:t> </w:t>
      </w:r>
      <w:r>
        <w:rPr>
          <w:sz w:val="22"/>
        </w:rPr>
        <w:t>date in 1977;</w:t>
      </w:r>
    </w:p>
    <w:p>
      <w:pPr>
        <w:pStyle w:val="BodyText"/>
        <w:spacing w:before="5"/>
        <w:rPr>
          <w:sz w:val="33"/>
        </w:rPr>
      </w:pPr>
    </w:p>
    <w:p>
      <w:pPr>
        <w:pStyle w:val="ListParagraph"/>
        <w:numPr>
          <w:ilvl w:val="0"/>
          <w:numId w:val="1"/>
        </w:numPr>
        <w:tabs>
          <w:tab w:pos="849" w:val="left" w:leader="none"/>
        </w:tabs>
        <w:spacing w:line="369" w:lineRule="auto" w:before="1" w:after="0"/>
        <w:ind w:left="847" w:right="114" w:hanging="336"/>
        <w:jc w:val="both"/>
        <w:rPr>
          <w:sz w:val="22"/>
        </w:rPr>
      </w:pPr>
      <w:r>
        <w:rPr>
          <w:b/>
          <w:sz w:val="22"/>
        </w:rPr>
        <w:t>URGES</w:t>
      </w:r>
      <w:r>
        <w:rPr>
          <w:b/>
          <w:spacing w:val="40"/>
          <w:sz w:val="22"/>
        </w:rPr>
        <w:t> </w:t>
      </w:r>
      <w:r>
        <w:rPr>
          <w:sz w:val="22"/>
        </w:rPr>
        <w:t>all</w:t>
      </w:r>
      <w:r>
        <w:rPr>
          <w:spacing w:val="40"/>
          <w:sz w:val="22"/>
        </w:rPr>
        <w:t> </w:t>
      </w:r>
      <w:r>
        <w:rPr>
          <w:sz w:val="22"/>
        </w:rPr>
        <w:t>the</w:t>
      </w:r>
      <w:r>
        <w:rPr>
          <w:spacing w:val="40"/>
          <w:sz w:val="22"/>
        </w:rPr>
        <w:t> </w:t>
      </w:r>
      <w:r>
        <w:rPr>
          <w:sz w:val="22"/>
        </w:rPr>
        <w:t>political</w:t>
      </w:r>
      <w:r>
        <w:rPr>
          <w:spacing w:val="40"/>
          <w:sz w:val="22"/>
        </w:rPr>
        <w:t> </w:t>
      </w:r>
      <w:r>
        <w:rPr>
          <w:sz w:val="22"/>
        </w:rPr>
        <w:t>parties</w:t>
      </w:r>
      <w:r>
        <w:rPr>
          <w:spacing w:val="40"/>
          <w:sz w:val="22"/>
        </w:rPr>
        <w:t> </w:t>
      </w:r>
      <w:r>
        <w:rPr>
          <w:sz w:val="22"/>
        </w:rPr>
        <w:t>and</w:t>
      </w:r>
      <w:r>
        <w:rPr>
          <w:spacing w:val="40"/>
          <w:sz w:val="22"/>
        </w:rPr>
        <w:t> </w:t>
      </w:r>
      <w:r>
        <w:rPr>
          <w:sz w:val="22"/>
        </w:rPr>
        <w:t>groups</w:t>
      </w:r>
      <w:r>
        <w:rPr>
          <w:spacing w:val="40"/>
          <w:sz w:val="22"/>
        </w:rPr>
        <w:t> </w:t>
      </w:r>
      <w:r>
        <w:rPr>
          <w:sz w:val="22"/>
        </w:rPr>
        <w:t>and</w:t>
      </w:r>
      <w:r>
        <w:rPr>
          <w:spacing w:val="40"/>
          <w:sz w:val="22"/>
        </w:rPr>
        <w:t> </w:t>
      </w:r>
      <w:r>
        <w:rPr>
          <w:sz w:val="22"/>
        </w:rPr>
        <w:t>the</w:t>
      </w:r>
      <w:r>
        <w:rPr>
          <w:spacing w:val="40"/>
          <w:sz w:val="22"/>
        </w:rPr>
        <w:t> </w:t>
      </w:r>
      <w:r>
        <w:rPr>
          <w:sz w:val="22"/>
        </w:rPr>
        <w:t>two</w:t>
      </w:r>
      <w:r>
        <w:rPr>
          <w:spacing w:val="40"/>
          <w:sz w:val="22"/>
        </w:rPr>
        <w:t> </w:t>
      </w:r>
      <w:r>
        <w:rPr>
          <w:sz w:val="22"/>
        </w:rPr>
        <w:t>Liberation</w:t>
      </w:r>
      <w:r>
        <w:rPr>
          <w:spacing w:val="40"/>
          <w:sz w:val="22"/>
        </w:rPr>
        <w:t> </w:t>
      </w:r>
      <w:r>
        <w:rPr>
          <w:sz w:val="22"/>
        </w:rPr>
        <w:t>Movements recognized by the OAU (FLCS and LMD) to accept a round-table conference on neutral grounds</w:t>
      </w:r>
      <w:r>
        <w:rPr>
          <w:spacing w:val="27"/>
          <w:sz w:val="22"/>
        </w:rPr>
        <w:t> </w:t>
      </w:r>
      <w:r>
        <w:rPr>
          <w:sz w:val="22"/>
        </w:rPr>
        <w:t>under</w:t>
      </w:r>
      <w:r>
        <w:rPr>
          <w:spacing w:val="27"/>
          <w:sz w:val="22"/>
        </w:rPr>
        <w:t> </w:t>
      </w:r>
      <w:r>
        <w:rPr>
          <w:sz w:val="22"/>
        </w:rPr>
        <w:t>the</w:t>
      </w:r>
      <w:r>
        <w:rPr>
          <w:spacing w:val="27"/>
          <w:sz w:val="22"/>
        </w:rPr>
        <w:t> </w:t>
      </w:r>
      <w:r>
        <w:rPr>
          <w:sz w:val="22"/>
        </w:rPr>
        <w:t>auspices</w:t>
      </w:r>
      <w:r>
        <w:rPr>
          <w:spacing w:val="27"/>
          <w:sz w:val="22"/>
        </w:rPr>
        <w:t> </w:t>
      </w:r>
      <w:r>
        <w:rPr>
          <w:sz w:val="22"/>
        </w:rPr>
        <w:t>of</w:t>
      </w:r>
      <w:r>
        <w:rPr>
          <w:spacing w:val="27"/>
          <w:sz w:val="22"/>
        </w:rPr>
        <w:t> </w:t>
      </w:r>
      <w:r>
        <w:rPr>
          <w:sz w:val="22"/>
        </w:rPr>
        <w:t>the</w:t>
      </w:r>
      <w:r>
        <w:rPr>
          <w:spacing w:val="27"/>
          <w:sz w:val="22"/>
        </w:rPr>
        <w:t> </w:t>
      </w:r>
      <w:r>
        <w:rPr>
          <w:sz w:val="22"/>
        </w:rPr>
        <w:t>OAU</w:t>
      </w:r>
      <w:r>
        <w:rPr>
          <w:spacing w:val="27"/>
          <w:sz w:val="22"/>
        </w:rPr>
        <w:t> </w:t>
      </w:r>
      <w:r>
        <w:rPr>
          <w:sz w:val="22"/>
        </w:rPr>
        <w:t>to</w:t>
      </w:r>
      <w:r>
        <w:rPr>
          <w:spacing w:val="27"/>
          <w:sz w:val="22"/>
        </w:rPr>
        <w:t> </w:t>
      </w:r>
      <w:r>
        <w:rPr>
          <w:sz w:val="22"/>
        </w:rPr>
        <w:t>agree</w:t>
      </w:r>
      <w:r>
        <w:rPr>
          <w:spacing w:val="27"/>
          <w:sz w:val="22"/>
        </w:rPr>
        <w:t> </w:t>
      </w:r>
      <w:r>
        <w:rPr>
          <w:sz w:val="22"/>
        </w:rPr>
        <w:t>on</w:t>
      </w:r>
      <w:r>
        <w:rPr>
          <w:spacing w:val="27"/>
          <w:sz w:val="22"/>
        </w:rPr>
        <w:t> </w:t>
      </w:r>
      <w:r>
        <w:rPr>
          <w:sz w:val="22"/>
        </w:rPr>
        <w:t>a</w:t>
      </w:r>
      <w:r>
        <w:rPr>
          <w:spacing w:val="27"/>
          <w:sz w:val="22"/>
        </w:rPr>
        <w:t> </w:t>
      </w:r>
      <w:r>
        <w:rPr>
          <w:sz w:val="22"/>
        </w:rPr>
        <w:t>common</w:t>
      </w:r>
      <w:r>
        <w:rPr>
          <w:spacing w:val="27"/>
          <w:sz w:val="22"/>
        </w:rPr>
        <w:t> </w:t>
      </w:r>
      <w:r>
        <w:rPr>
          <w:sz w:val="22"/>
        </w:rPr>
        <w:t>political</w:t>
      </w:r>
      <w:r>
        <w:rPr>
          <w:spacing w:val="27"/>
          <w:sz w:val="22"/>
        </w:rPr>
        <w:t> </w:t>
      </w:r>
      <w:r>
        <w:rPr>
          <w:sz w:val="22"/>
        </w:rPr>
        <w:t>platform</w:t>
      </w:r>
      <w:r>
        <w:rPr>
          <w:spacing w:val="27"/>
          <w:sz w:val="22"/>
        </w:rPr>
        <w:t> </w:t>
      </w:r>
      <w:r>
        <w:rPr>
          <w:sz w:val="22"/>
        </w:rPr>
        <w:t>before the referendum;</w:t>
      </w:r>
    </w:p>
    <w:p>
      <w:pPr>
        <w:spacing w:after="0" w:line="369" w:lineRule="auto"/>
        <w:jc w:val="both"/>
        <w:rPr>
          <w:sz w:val="22"/>
        </w:rPr>
        <w:sectPr>
          <w:pgSz w:w="12240" w:h="15840"/>
          <w:pgMar w:header="700" w:footer="0" w:top="1420" w:bottom="280" w:left="1720" w:right="1440"/>
        </w:sectPr>
      </w:pPr>
    </w:p>
    <w:p>
      <w:pPr>
        <w:pStyle w:val="BodyText"/>
        <w:rPr>
          <w:sz w:val="20"/>
        </w:rPr>
      </w:pPr>
    </w:p>
    <w:p>
      <w:pPr>
        <w:pStyle w:val="BodyText"/>
        <w:rPr>
          <w:sz w:val="20"/>
        </w:rPr>
      </w:pPr>
    </w:p>
    <w:p>
      <w:pPr>
        <w:pStyle w:val="BodyText"/>
        <w:spacing w:before="4"/>
        <w:rPr>
          <w:sz w:val="24"/>
        </w:rPr>
      </w:pPr>
    </w:p>
    <w:p>
      <w:pPr>
        <w:pStyle w:val="ListParagraph"/>
        <w:numPr>
          <w:ilvl w:val="0"/>
          <w:numId w:val="1"/>
        </w:numPr>
        <w:tabs>
          <w:tab w:pos="849" w:val="left" w:leader="none"/>
        </w:tabs>
        <w:spacing w:line="369" w:lineRule="auto" w:before="123" w:after="0"/>
        <w:ind w:left="847" w:right="106" w:hanging="336"/>
        <w:jc w:val="both"/>
        <w:rPr>
          <w:sz w:val="22"/>
        </w:rPr>
      </w:pPr>
      <w:r>
        <w:rPr>
          <w:b/>
          <w:sz w:val="22"/>
        </w:rPr>
        <w:t>DESIGNATES, </w:t>
      </w:r>
      <w:r>
        <w:rPr>
          <w:sz w:val="22"/>
        </w:rPr>
        <w:t>in accordance with recommendations of the 27</w:t>
      </w:r>
      <w:r>
        <w:rPr>
          <w:sz w:val="22"/>
          <w:vertAlign w:val="superscript"/>
        </w:rPr>
        <w:t>t</w:t>
      </w:r>
      <w:r>
        <w:rPr>
          <w:sz w:val="22"/>
          <w:vertAlign w:val="superscript"/>
        </w:rPr>
        <w:t>h</w:t>
      </w:r>
      <w:r>
        <w:rPr>
          <w:sz w:val="22"/>
          <w:vertAlign w:val="baseline"/>
        </w:rPr>
        <w:t> Session of the Co- ordinating Committee for the Liberation of Africa, the OAU Fact-Finding Mission to observe the referendum and the subsequent elections and to assist in the determination of</w:t>
      </w:r>
      <w:r>
        <w:rPr>
          <w:spacing w:val="40"/>
          <w:sz w:val="22"/>
          <w:vertAlign w:val="baseline"/>
        </w:rPr>
        <w:t> </w:t>
      </w:r>
      <w:r>
        <w:rPr>
          <w:sz w:val="22"/>
          <w:vertAlign w:val="baseline"/>
        </w:rPr>
        <w:t>the status of refugees on the basis of the recommendations made by the Fact-Finding </w:t>
      </w:r>
      <w:r>
        <w:rPr>
          <w:spacing w:val="-2"/>
          <w:sz w:val="22"/>
          <w:vertAlign w:val="baseline"/>
        </w:rPr>
        <w:t>Mission;</w:t>
      </w:r>
    </w:p>
    <w:p>
      <w:pPr>
        <w:pStyle w:val="BodyText"/>
        <w:spacing w:before="5"/>
        <w:rPr>
          <w:sz w:val="33"/>
        </w:rPr>
      </w:pPr>
    </w:p>
    <w:p>
      <w:pPr>
        <w:pStyle w:val="ListParagraph"/>
        <w:numPr>
          <w:ilvl w:val="0"/>
          <w:numId w:val="1"/>
        </w:numPr>
        <w:tabs>
          <w:tab w:pos="849" w:val="left" w:leader="none"/>
        </w:tabs>
        <w:spacing w:line="369" w:lineRule="auto" w:before="0" w:after="0"/>
        <w:ind w:left="848" w:right="115" w:hanging="336"/>
        <w:jc w:val="both"/>
        <w:rPr>
          <w:sz w:val="22"/>
        </w:rPr>
      </w:pPr>
      <w:r>
        <w:rPr>
          <w:b/>
          <w:sz w:val="22"/>
        </w:rPr>
        <w:t>REQUESTS </w:t>
      </w:r>
      <w:r>
        <w:rPr>
          <w:sz w:val="22"/>
        </w:rPr>
        <w:t>the Administrative Secretary-General to transmit to the French Government the</w:t>
      </w:r>
      <w:r>
        <w:rPr>
          <w:spacing w:val="40"/>
          <w:sz w:val="22"/>
        </w:rPr>
        <w:t> </w:t>
      </w:r>
      <w:r>
        <w:rPr>
          <w:sz w:val="22"/>
        </w:rPr>
        <w:t>contents</w:t>
      </w:r>
      <w:r>
        <w:rPr>
          <w:spacing w:val="40"/>
          <w:sz w:val="22"/>
        </w:rPr>
        <w:t> </w:t>
      </w:r>
      <w:r>
        <w:rPr>
          <w:sz w:val="22"/>
        </w:rPr>
        <w:t>of</w:t>
      </w:r>
      <w:r>
        <w:rPr>
          <w:spacing w:val="40"/>
          <w:sz w:val="22"/>
        </w:rPr>
        <w:t> </w:t>
      </w:r>
      <w:r>
        <w:rPr>
          <w:sz w:val="22"/>
        </w:rPr>
        <w:t>this</w:t>
      </w:r>
      <w:r>
        <w:rPr>
          <w:spacing w:val="40"/>
          <w:sz w:val="22"/>
        </w:rPr>
        <w:t> </w:t>
      </w:r>
      <w:r>
        <w:rPr>
          <w:sz w:val="22"/>
        </w:rPr>
        <w:t>resolution</w:t>
      </w:r>
      <w:r>
        <w:rPr>
          <w:spacing w:val="40"/>
          <w:sz w:val="22"/>
        </w:rPr>
        <w:t> </w:t>
      </w:r>
      <w:r>
        <w:rPr>
          <w:sz w:val="22"/>
        </w:rPr>
        <w:t>and</w:t>
      </w:r>
      <w:r>
        <w:rPr>
          <w:spacing w:val="40"/>
          <w:sz w:val="22"/>
        </w:rPr>
        <w:t> </w:t>
      </w:r>
      <w:r>
        <w:rPr>
          <w:sz w:val="22"/>
        </w:rPr>
        <w:t>to</w:t>
      </w:r>
      <w:r>
        <w:rPr>
          <w:spacing w:val="40"/>
          <w:sz w:val="22"/>
        </w:rPr>
        <w:t> </w:t>
      </w:r>
      <w:r>
        <w:rPr>
          <w:sz w:val="22"/>
        </w:rPr>
        <w:t>take</w:t>
      </w:r>
      <w:r>
        <w:rPr>
          <w:spacing w:val="40"/>
          <w:sz w:val="22"/>
        </w:rPr>
        <w:t> </w:t>
      </w:r>
      <w:r>
        <w:rPr>
          <w:sz w:val="22"/>
        </w:rPr>
        <w:t>all</w:t>
      </w:r>
      <w:r>
        <w:rPr>
          <w:spacing w:val="40"/>
          <w:sz w:val="22"/>
        </w:rPr>
        <w:t> </w:t>
      </w:r>
      <w:r>
        <w:rPr>
          <w:sz w:val="22"/>
        </w:rPr>
        <w:t>the</w:t>
      </w:r>
      <w:r>
        <w:rPr>
          <w:spacing w:val="40"/>
          <w:sz w:val="22"/>
        </w:rPr>
        <w:t> </w:t>
      </w:r>
      <w:r>
        <w:rPr>
          <w:sz w:val="22"/>
        </w:rPr>
        <w:t>necessary</w:t>
      </w:r>
      <w:r>
        <w:rPr>
          <w:spacing w:val="40"/>
          <w:sz w:val="22"/>
        </w:rPr>
        <w:t> </w:t>
      </w:r>
      <w:r>
        <w:rPr>
          <w:sz w:val="22"/>
        </w:rPr>
        <w:t>measures</w:t>
      </w:r>
      <w:r>
        <w:rPr>
          <w:spacing w:val="40"/>
          <w:sz w:val="22"/>
        </w:rPr>
        <w:t> </w:t>
      </w:r>
      <w:r>
        <w:rPr>
          <w:sz w:val="22"/>
        </w:rPr>
        <w:t>for</w:t>
      </w:r>
      <w:r>
        <w:rPr>
          <w:spacing w:val="40"/>
          <w:sz w:val="22"/>
        </w:rPr>
        <w:t> </w:t>
      </w:r>
      <w:r>
        <w:rPr>
          <w:sz w:val="22"/>
        </w:rPr>
        <w:t>its </w:t>
      </w:r>
      <w:r>
        <w:rPr>
          <w:spacing w:val="-2"/>
          <w:sz w:val="22"/>
        </w:rPr>
        <w:t>implementation.</w:t>
      </w:r>
    </w:p>
    <w:sectPr>
      <w:pgSz w:w="12240" w:h="15840"/>
      <w:pgMar w:header="700" w:footer="0" w:top="14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66528" type="#_x0000_t202" id="docshape1" filled="false" stroked="false">
          <v:textbox inset="0,0,0,0">
            <w:txbxContent>
              <w:p>
                <w:pPr>
                  <w:spacing w:before="11"/>
                  <w:ind w:left="20" w:right="0" w:firstLine="0"/>
                  <w:jc w:val="left"/>
                  <w:rPr>
                    <w:sz w:val="19"/>
                  </w:rPr>
                </w:pPr>
                <w:r>
                  <w:rPr>
                    <w:sz w:val="19"/>
                  </w:rPr>
                  <w:t>CM/RES</w:t>
                </w:r>
                <w:r>
                  <w:rPr>
                    <w:spacing w:val="45"/>
                    <w:sz w:val="19"/>
                  </w:rPr>
                  <w:t> </w:t>
                </w:r>
                <w:r>
                  <w:rPr>
                    <w:sz w:val="19"/>
                  </w:rPr>
                  <w:t>480</w:t>
                </w:r>
                <w:r>
                  <w:rPr>
                    <w:spacing w:val="46"/>
                    <w:sz w:val="19"/>
                  </w:rPr>
                  <w:t> </w:t>
                </w:r>
                <w:r>
                  <w:rPr>
                    <w:spacing w:val="-2"/>
                    <w:sz w:val="19"/>
                  </w:rPr>
                  <w:t>(XXVII)</w:t>
                </w:r>
              </w:p>
              <w:p>
                <w:pPr>
                  <w:spacing w:before="3"/>
                  <w:ind w:left="32" w:right="0" w:firstLine="0"/>
                  <w:jc w:val="left"/>
                  <w:rPr>
                    <w:sz w:val="19"/>
                  </w:rPr>
                </w:pPr>
                <w:r>
                  <w:rPr>
                    <w:spacing w:val="-2"/>
                    <w:sz w:val="19"/>
                  </w:rPr>
                  <w:t>Page</w:t>
                </w:r>
                <w:r>
                  <w:rPr>
                    <w:spacing w:val="-10"/>
                    <w:sz w:val="19"/>
                  </w:rPr>
                  <w:t> </w:t>
                </w:r>
                <w:r>
                  <w:rPr>
                    <w:spacing w:val="-5"/>
                    <w:sz w:val="19"/>
                  </w:rPr>
                  <w:fldChar w:fldCharType="begin"/>
                </w:r>
                <w:r>
                  <w:rPr>
                    <w:spacing w:val="-5"/>
                    <w:sz w:val="19"/>
                  </w:rPr>
                  <w:instrText> PAGE </w:instrText>
                </w:r>
                <w:r>
                  <w:rPr>
                    <w:spacing w:val="-5"/>
                    <w:sz w:val="19"/>
                  </w:rPr>
                  <w:fldChar w:fldCharType="separate"/>
                </w:r>
                <w:r>
                  <w:rPr>
                    <w:spacing w:val="-5"/>
                    <w:sz w:val="19"/>
                  </w:rPr>
                  <w:t>13</w:t>
                </w:r>
                <w:r>
                  <w:rPr>
                    <w:spacing w:val="-5"/>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righ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70" w:hanging="341"/>
      </w:pPr>
      <w:rPr>
        <w:rFonts w:hint="default"/>
        <w:lang w:val="en-US" w:eastAsia="en-US" w:bidi="ar-SA"/>
      </w:rPr>
    </w:lvl>
    <w:lvl w:ilvl="2">
      <w:start w:val="0"/>
      <w:numFmt w:val="bullet"/>
      <w:lvlText w:val="•"/>
      <w:lvlJc w:val="left"/>
      <w:pPr>
        <w:ind w:left="2760" w:hanging="341"/>
      </w:pPr>
      <w:rPr>
        <w:rFonts w:hint="default"/>
        <w:lang w:val="en-US" w:eastAsia="en-US" w:bidi="ar-SA"/>
      </w:rPr>
    </w:lvl>
    <w:lvl w:ilvl="3">
      <w:start w:val="0"/>
      <w:numFmt w:val="bullet"/>
      <w:lvlText w:val="•"/>
      <w:lvlJc w:val="left"/>
      <w:pPr>
        <w:ind w:left="3550" w:hanging="341"/>
      </w:pPr>
      <w:rPr>
        <w:rFonts w:hint="default"/>
        <w:lang w:val="en-US" w:eastAsia="en-US" w:bidi="ar-SA"/>
      </w:rPr>
    </w:lvl>
    <w:lvl w:ilvl="4">
      <w:start w:val="0"/>
      <w:numFmt w:val="bullet"/>
      <w:lvlText w:val="•"/>
      <w:lvlJc w:val="left"/>
      <w:pPr>
        <w:ind w:left="4340" w:hanging="341"/>
      </w:pPr>
      <w:rPr>
        <w:rFonts w:hint="default"/>
        <w:lang w:val="en-US" w:eastAsia="en-US" w:bidi="ar-SA"/>
      </w:rPr>
    </w:lvl>
    <w:lvl w:ilvl="5">
      <w:start w:val="0"/>
      <w:numFmt w:val="bullet"/>
      <w:lvlText w:val="•"/>
      <w:lvlJc w:val="left"/>
      <w:pPr>
        <w:ind w:left="5130" w:hanging="341"/>
      </w:pPr>
      <w:rPr>
        <w:rFonts w:hint="default"/>
        <w:lang w:val="en-US" w:eastAsia="en-US" w:bidi="ar-SA"/>
      </w:rPr>
    </w:lvl>
    <w:lvl w:ilvl="6">
      <w:start w:val="0"/>
      <w:numFmt w:val="bullet"/>
      <w:lvlText w:val="•"/>
      <w:lvlJc w:val="left"/>
      <w:pPr>
        <w:ind w:left="5920" w:hanging="341"/>
      </w:pPr>
      <w:rPr>
        <w:rFonts w:hint="default"/>
        <w:lang w:val="en-US" w:eastAsia="en-US" w:bidi="ar-SA"/>
      </w:rPr>
    </w:lvl>
    <w:lvl w:ilvl="7">
      <w:start w:val="0"/>
      <w:numFmt w:val="bullet"/>
      <w:lvlText w:val="•"/>
      <w:lvlJc w:val="left"/>
      <w:pPr>
        <w:ind w:left="6710" w:hanging="341"/>
      </w:pPr>
      <w:rPr>
        <w:rFonts w:hint="default"/>
        <w:lang w:val="en-US" w:eastAsia="en-US" w:bidi="ar-SA"/>
      </w:rPr>
    </w:lvl>
    <w:lvl w:ilvl="8">
      <w:start w:val="0"/>
      <w:numFmt w:val="bullet"/>
      <w:lvlText w:val="•"/>
      <w:lvlJc w:val="left"/>
      <w:pPr>
        <w:ind w:left="75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
      <w:ind w:left="3948" w:right="280" w:hanging="2583"/>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847" w:right="108"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2023-06-07T08:49:11Z</dcterms:created>
  <dcterms:modified xsi:type="dcterms:W3CDTF">2023-06-07T08:49:11Z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