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74" w:lineRule="auto"/>
        <w:rPr>
          <w:u w:val="none"/>
        </w:rPr>
      </w:pPr>
      <w:r>
        <w:rPr>
          <w:u w:val="single"/>
        </w:rPr>
        <w:t>RESOLUTION ON THE Vth SUMMIT CONFERENCE OF THE</w:t>
      </w:r>
      <w:r>
        <w:rPr>
          <w:u w:val="none"/>
        </w:rPr>
        <w:t> </w:t>
      </w:r>
      <w:r>
        <w:rPr>
          <w:u w:val="single"/>
        </w:rPr>
        <w:t>NON-ALIGNED COUNTRIES</w:t>
      </w:r>
    </w:p>
    <w:p>
      <w:pPr>
        <w:pStyle w:val="BodyText"/>
        <w:spacing w:before="6"/>
        <w:rPr>
          <w:b/>
          <w:sz w:val="24"/>
        </w:rPr>
      </w:pPr>
    </w:p>
    <w:p>
      <w:pPr>
        <w:pStyle w:val="BodyText"/>
        <w:spacing w:line="369" w:lineRule="auto" w:before="95"/>
        <w:ind w:left="171" w:right="116" w:firstLine="676"/>
        <w:jc w:val="both"/>
      </w:pPr>
      <w:r>
        <w:rPr/>
        <w:t>The Council of Ministers of the Organization of African Unity meeting in its Twenty- Seventh Ordinary Session at Port Louis, Mauritius, from 24 June to 3</w:t>
      </w:r>
      <w:r>
        <w:rPr>
          <w:vertAlign w:val="superscript"/>
        </w:rPr>
        <w:t>rd</w:t>
      </w:r>
      <w:r>
        <w:rPr>
          <w:vertAlign w:val="baseline"/>
        </w:rPr>
        <w:t> July, 1976.</w:t>
      </w:r>
    </w:p>
    <w:p>
      <w:pPr>
        <w:pStyle w:val="BodyText"/>
        <w:spacing w:before="8"/>
        <w:rPr>
          <w:sz w:val="33"/>
        </w:rPr>
      </w:pPr>
    </w:p>
    <w:p>
      <w:pPr>
        <w:pStyle w:val="BodyText"/>
        <w:spacing w:line="369" w:lineRule="auto"/>
        <w:ind w:left="171" w:right="114" w:firstLine="676"/>
        <w:jc w:val="both"/>
      </w:pPr>
      <w:r>
        <w:rPr>
          <w:b/>
          <w:u w:val="single"/>
        </w:rPr>
        <w:t>Having heard</w:t>
      </w:r>
      <w:r>
        <w:rPr>
          <w:b/>
        </w:rPr>
        <w:t> </w:t>
      </w:r>
      <w:r>
        <w:rPr/>
        <w:t>and discussed the proposals of the Libyan Arab Republic and Socialist Ethiopia concerning the forthcoming Fifth Summit Conference of Non-Aligned Countries;</w:t>
      </w:r>
    </w:p>
    <w:p>
      <w:pPr>
        <w:pStyle w:val="BodyText"/>
        <w:spacing w:before="8"/>
        <w:rPr>
          <w:sz w:val="33"/>
        </w:rPr>
      </w:pPr>
    </w:p>
    <w:p>
      <w:pPr>
        <w:pStyle w:val="BodyText"/>
        <w:spacing w:line="369" w:lineRule="auto"/>
        <w:ind w:left="171" w:right="115" w:firstLine="676"/>
        <w:jc w:val="both"/>
      </w:pPr>
      <w:r>
        <w:rPr>
          <w:b/>
          <w:u w:val="single"/>
        </w:rPr>
        <w:t>Recognizing</w:t>
      </w:r>
      <w:r>
        <w:rPr>
          <w:b/>
        </w:rPr>
        <w:t> </w:t>
      </w:r>
      <w:r>
        <w:rPr/>
        <w:t>the importance of establishing permanent consultation among the OAU Member</w:t>
      </w:r>
      <w:r>
        <w:rPr>
          <w:spacing w:val="18"/>
        </w:rPr>
        <w:t> </w:t>
      </w:r>
      <w:r>
        <w:rPr/>
        <w:t>States</w:t>
      </w:r>
      <w:r>
        <w:rPr>
          <w:spacing w:val="18"/>
        </w:rPr>
        <w:t> </w:t>
      </w:r>
      <w:r>
        <w:rPr/>
        <w:t>in</w:t>
      </w:r>
      <w:r>
        <w:rPr>
          <w:spacing w:val="19"/>
        </w:rPr>
        <w:t> </w:t>
      </w:r>
      <w:r>
        <w:rPr/>
        <w:t>accordance</w:t>
      </w:r>
      <w:r>
        <w:rPr>
          <w:spacing w:val="18"/>
        </w:rPr>
        <w:t> </w:t>
      </w:r>
      <w:r>
        <w:rPr/>
        <w:t>with</w:t>
      </w:r>
      <w:r>
        <w:rPr>
          <w:spacing w:val="19"/>
        </w:rPr>
        <w:t> </w:t>
      </w:r>
      <w:r>
        <w:rPr/>
        <w:t>the</w:t>
      </w:r>
      <w:r>
        <w:rPr>
          <w:spacing w:val="18"/>
        </w:rPr>
        <w:t> </w:t>
      </w:r>
      <w:r>
        <w:rPr/>
        <w:t>spirit</w:t>
      </w:r>
      <w:r>
        <w:rPr>
          <w:spacing w:val="18"/>
        </w:rPr>
        <w:t> </w:t>
      </w:r>
      <w:r>
        <w:rPr/>
        <w:t>of</w:t>
      </w:r>
      <w:r>
        <w:rPr>
          <w:spacing w:val="18"/>
        </w:rPr>
        <w:t> </w:t>
      </w:r>
      <w:r>
        <w:rPr/>
        <w:t>resolution</w:t>
      </w:r>
      <w:r>
        <w:rPr>
          <w:spacing w:val="19"/>
        </w:rPr>
        <w:t> </w:t>
      </w:r>
      <w:r>
        <w:rPr/>
        <w:t>CM/Res.</w:t>
      </w:r>
      <w:r>
        <w:rPr>
          <w:spacing w:val="19"/>
        </w:rPr>
        <w:t> </w:t>
      </w:r>
      <w:r>
        <w:rPr/>
        <w:t>264</w:t>
      </w:r>
      <w:r>
        <w:rPr>
          <w:spacing w:val="19"/>
        </w:rPr>
        <w:t> </w:t>
      </w:r>
      <w:r>
        <w:rPr/>
        <w:t>(XVIII)</w:t>
      </w:r>
      <w:r>
        <w:rPr>
          <w:spacing w:val="18"/>
        </w:rPr>
        <w:t> </w:t>
      </w:r>
      <w:r>
        <w:rPr/>
        <w:t>and</w:t>
      </w:r>
      <w:r>
        <w:rPr>
          <w:spacing w:val="19"/>
        </w:rPr>
        <w:t> </w:t>
      </w:r>
      <w:r>
        <w:rPr/>
        <w:t>with</w:t>
      </w:r>
      <w:r>
        <w:rPr>
          <w:spacing w:val="19"/>
        </w:rPr>
        <w:t> </w:t>
      </w:r>
      <w:r>
        <w:rPr/>
        <w:t>a</w:t>
      </w:r>
      <w:r>
        <w:rPr>
          <w:spacing w:val="18"/>
        </w:rPr>
        <w:t> </w:t>
      </w:r>
      <w:r>
        <w:rPr/>
        <w:t>view to coordinating and harmonizing their views prior to international meetings;</w:t>
      </w:r>
    </w:p>
    <w:p>
      <w:pPr>
        <w:pStyle w:val="BodyText"/>
        <w:spacing w:before="7"/>
        <w:rPr>
          <w:sz w:val="33"/>
        </w:rPr>
      </w:pPr>
    </w:p>
    <w:p>
      <w:pPr>
        <w:pStyle w:val="BodyText"/>
        <w:ind w:left="848"/>
      </w:pPr>
      <w:r>
        <w:rPr>
          <w:b/>
          <w:u w:val="single"/>
        </w:rPr>
        <w:t>Faithful</w:t>
      </w:r>
      <w:r>
        <w:rPr>
          <w:b/>
          <w:spacing w:val="7"/>
        </w:rPr>
        <w:t> </w:t>
      </w:r>
      <w:r>
        <w:rPr/>
        <w:t>to</w:t>
      </w:r>
      <w:r>
        <w:rPr>
          <w:spacing w:val="7"/>
        </w:rPr>
        <w:t> </w:t>
      </w:r>
      <w:r>
        <w:rPr/>
        <w:t>the</w:t>
      </w:r>
      <w:r>
        <w:rPr>
          <w:spacing w:val="7"/>
        </w:rPr>
        <w:t> </w:t>
      </w:r>
      <w:r>
        <w:rPr/>
        <w:t>OAU</w:t>
      </w:r>
      <w:r>
        <w:rPr>
          <w:spacing w:val="8"/>
        </w:rPr>
        <w:t> </w:t>
      </w:r>
      <w:r>
        <w:rPr/>
        <w:t>Charter</w:t>
      </w:r>
      <w:r>
        <w:rPr>
          <w:spacing w:val="7"/>
        </w:rPr>
        <w:t> </w:t>
      </w:r>
      <w:r>
        <w:rPr/>
        <w:t>and</w:t>
      </w:r>
      <w:r>
        <w:rPr>
          <w:spacing w:val="7"/>
        </w:rPr>
        <w:t> </w:t>
      </w:r>
      <w:r>
        <w:rPr/>
        <w:t>to</w:t>
      </w:r>
      <w:r>
        <w:rPr>
          <w:spacing w:val="8"/>
        </w:rPr>
        <w:t> </w:t>
      </w:r>
      <w:r>
        <w:rPr/>
        <w:t>the</w:t>
      </w:r>
      <w:r>
        <w:rPr>
          <w:spacing w:val="7"/>
        </w:rPr>
        <w:t> </w:t>
      </w:r>
      <w:r>
        <w:rPr/>
        <w:t>principle</w:t>
      </w:r>
      <w:r>
        <w:rPr>
          <w:spacing w:val="7"/>
        </w:rPr>
        <w:t> </w:t>
      </w:r>
      <w:r>
        <w:rPr/>
        <w:t>of</w:t>
      </w:r>
      <w:r>
        <w:rPr>
          <w:spacing w:val="8"/>
        </w:rPr>
        <w:t> </w:t>
      </w:r>
      <w:r>
        <w:rPr/>
        <w:t>non-</w:t>
      </w:r>
      <w:r>
        <w:rPr>
          <w:spacing w:val="-2"/>
        </w:rPr>
        <w:t>alignment;</w:t>
      </w:r>
    </w:p>
    <w:p>
      <w:pPr>
        <w:pStyle w:val="BodyText"/>
        <w:rPr>
          <w:sz w:val="24"/>
        </w:rPr>
      </w:pPr>
    </w:p>
    <w:p>
      <w:pPr>
        <w:pStyle w:val="BodyText"/>
      </w:pPr>
    </w:p>
    <w:p>
      <w:pPr>
        <w:pStyle w:val="BodyText"/>
        <w:spacing w:line="367" w:lineRule="auto"/>
        <w:ind w:left="171" w:right="111" w:firstLine="676"/>
        <w:jc w:val="both"/>
      </w:pPr>
      <w:r>
        <w:rPr>
          <w:b/>
          <w:u w:val="single"/>
        </w:rPr>
        <w:t>Conscious</w:t>
      </w:r>
      <w:r>
        <w:rPr>
          <w:b/>
          <w:spacing w:val="40"/>
        </w:rPr>
        <w:t> </w:t>
      </w:r>
      <w:r>
        <w:rPr/>
        <w:t>of</w:t>
      </w:r>
      <w:r>
        <w:rPr>
          <w:spacing w:val="40"/>
        </w:rPr>
        <w:t> </w:t>
      </w:r>
      <w:r>
        <w:rPr/>
        <w:t>the</w:t>
      </w:r>
      <w:r>
        <w:rPr>
          <w:spacing w:val="40"/>
        </w:rPr>
        <w:t> </w:t>
      </w:r>
      <w:r>
        <w:rPr/>
        <w:t>need</w:t>
      </w:r>
      <w:r>
        <w:rPr>
          <w:spacing w:val="40"/>
        </w:rPr>
        <w:t> </w:t>
      </w:r>
      <w:r>
        <w:rPr/>
        <w:t>for</w:t>
      </w:r>
      <w:r>
        <w:rPr>
          <w:spacing w:val="40"/>
        </w:rPr>
        <w:t> </w:t>
      </w:r>
      <w:r>
        <w:rPr/>
        <w:t>Member</w:t>
      </w:r>
      <w:r>
        <w:rPr>
          <w:spacing w:val="40"/>
        </w:rPr>
        <w:t> </w:t>
      </w:r>
      <w:r>
        <w:rPr/>
        <w:t>States</w:t>
      </w:r>
      <w:r>
        <w:rPr>
          <w:spacing w:val="40"/>
        </w:rPr>
        <w:t> </w:t>
      </w:r>
      <w:r>
        <w:rPr/>
        <w:t>to</w:t>
      </w:r>
      <w:r>
        <w:rPr>
          <w:spacing w:val="40"/>
        </w:rPr>
        <w:t> </w:t>
      </w:r>
      <w:r>
        <w:rPr/>
        <w:t>take</w:t>
      </w:r>
      <w:r>
        <w:rPr>
          <w:spacing w:val="40"/>
        </w:rPr>
        <w:t> </w:t>
      </w:r>
      <w:r>
        <w:rPr/>
        <w:t>appropriate</w:t>
      </w:r>
      <w:r>
        <w:rPr>
          <w:spacing w:val="40"/>
        </w:rPr>
        <w:t> </w:t>
      </w:r>
      <w:r>
        <w:rPr/>
        <w:t>measure</w:t>
      </w:r>
      <w:r>
        <w:rPr>
          <w:spacing w:val="40"/>
        </w:rPr>
        <w:t> </w:t>
      </w:r>
      <w:r>
        <w:rPr/>
        <w:t>in</w:t>
      </w:r>
      <w:r>
        <w:rPr>
          <w:spacing w:val="40"/>
        </w:rPr>
        <w:t> </w:t>
      </w:r>
      <w:r>
        <w:rPr/>
        <w:t>favour</w:t>
      </w:r>
      <w:r>
        <w:rPr>
          <w:spacing w:val="40"/>
        </w:rPr>
        <w:t> </w:t>
      </w:r>
      <w:r>
        <w:rPr/>
        <w:t>of national</w:t>
      </w:r>
      <w:r>
        <w:rPr>
          <w:spacing w:val="40"/>
        </w:rPr>
        <w:t> </w:t>
      </w:r>
      <w:r>
        <w:rPr/>
        <w:t>independence</w:t>
      </w:r>
      <w:r>
        <w:rPr>
          <w:spacing w:val="40"/>
        </w:rPr>
        <w:t> </w:t>
      </w:r>
      <w:r>
        <w:rPr/>
        <w:t>and</w:t>
      </w:r>
      <w:r>
        <w:rPr>
          <w:spacing w:val="40"/>
        </w:rPr>
        <w:t> </w:t>
      </w:r>
      <w:r>
        <w:rPr/>
        <w:t>the</w:t>
      </w:r>
      <w:r>
        <w:rPr>
          <w:spacing w:val="40"/>
        </w:rPr>
        <w:t> </w:t>
      </w:r>
      <w:r>
        <w:rPr/>
        <w:t>liberation</w:t>
      </w:r>
      <w:r>
        <w:rPr>
          <w:spacing w:val="40"/>
        </w:rPr>
        <w:t> </w:t>
      </w:r>
      <w:r>
        <w:rPr/>
        <w:t>of</w:t>
      </w:r>
      <w:r>
        <w:rPr>
          <w:spacing w:val="40"/>
        </w:rPr>
        <w:t> </w:t>
      </w:r>
      <w:r>
        <w:rPr/>
        <w:t>territories</w:t>
      </w:r>
      <w:r>
        <w:rPr>
          <w:spacing w:val="40"/>
        </w:rPr>
        <w:t> </w:t>
      </w:r>
      <w:r>
        <w:rPr/>
        <w:t>still</w:t>
      </w:r>
      <w:r>
        <w:rPr>
          <w:spacing w:val="40"/>
        </w:rPr>
        <w:t> </w:t>
      </w:r>
      <w:r>
        <w:rPr/>
        <w:t>under</w:t>
      </w:r>
      <w:r>
        <w:rPr>
          <w:spacing w:val="40"/>
        </w:rPr>
        <w:t> </w:t>
      </w:r>
      <w:r>
        <w:rPr/>
        <w:t>foreign</w:t>
      </w:r>
      <w:r>
        <w:rPr>
          <w:spacing w:val="40"/>
        </w:rPr>
        <w:t> </w:t>
      </w:r>
      <w:r>
        <w:rPr/>
        <w:t>and</w:t>
      </w:r>
      <w:r>
        <w:rPr>
          <w:spacing w:val="40"/>
        </w:rPr>
        <w:t> </w:t>
      </w:r>
      <w:r>
        <w:rPr/>
        <w:t>colonial </w:t>
      </w:r>
      <w:r>
        <w:rPr>
          <w:spacing w:val="-2"/>
        </w:rPr>
        <w:t>domination;</w:t>
      </w:r>
    </w:p>
    <w:p>
      <w:pPr>
        <w:pStyle w:val="BodyText"/>
        <w:spacing w:before="3"/>
        <w:rPr>
          <w:sz w:val="34"/>
        </w:rPr>
      </w:pPr>
    </w:p>
    <w:p>
      <w:pPr>
        <w:pStyle w:val="BodyText"/>
        <w:spacing w:line="369" w:lineRule="auto"/>
        <w:ind w:left="171" w:right="109" w:firstLine="676"/>
        <w:jc w:val="both"/>
      </w:pPr>
      <w:r>
        <w:rPr>
          <w:b/>
          <w:u w:val="single"/>
        </w:rPr>
        <w:t>Considering</w:t>
      </w:r>
      <w:r>
        <w:rPr>
          <w:b/>
        </w:rPr>
        <w:t> </w:t>
      </w:r>
      <w:r>
        <w:rPr/>
        <w:t>that non-alignment offers an adequate frame-work for the effective mobilization</w:t>
      </w:r>
      <w:r>
        <w:rPr>
          <w:spacing w:val="40"/>
        </w:rPr>
        <w:t> </w:t>
      </w:r>
      <w:r>
        <w:rPr/>
        <w:t>of</w:t>
      </w:r>
      <w:r>
        <w:rPr>
          <w:spacing w:val="40"/>
        </w:rPr>
        <w:t> </w:t>
      </w:r>
      <w:r>
        <w:rPr/>
        <w:t>the</w:t>
      </w:r>
      <w:r>
        <w:rPr>
          <w:spacing w:val="40"/>
        </w:rPr>
        <w:t> </w:t>
      </w:r>
      <w:r>
        <w:rPr/>
        <w:t>countries</w:t>
      </w:r>
      <w:r>
        <w:rPr>
          <w:spacing w:val="40"/>
        </w:rPr>
        <w:t> </w:t>
      </w:r>
      <w:r>
        <w:rPr/>
        <w:t>of</w:t>
      </w:r>
      <w:r>
        <w:rPr>
          <w:spacing w:val="40"/>
        </w:rPr>
        <w:t> </w:t>
      </w:r>
      <w:r>
        <w:rPr/>
        <w:t>the</w:t>
      </w:r>
      <w:r>
        <w:rPr>
          <w:spacing w:val="40"/>
        </w:rPr>
        <w:t> </w:t>
      </w:r>
      <w:r>
        <w:rPr/>
        <w:t>Third</w:t>
      </w:r>
      <w:r>
        <w:rPr>
          <w:spacing w:val="40"/>
        </w:rPr>
        <w:t> </w:t>
      </w:r>
      <w:r>
        <w:rPr/>
        <w:t>World</w:t>
      </w:r>
      <w:r>
        <w:rPr>
          <w:spacing w:val="40"/>
        </w:rPr>
        <w:t> </w:t>
      </w:r>
      <w:r>
        <w:rPr/>
        <w:t>and</w:t>
      </w:r>
      <w:r>
        <w:rPr>
          <w:spacing w:val="40"/>
        </w:rPr>
        <w:t> </w:t>
      </w:r>
      <w:r>
        <w:rPr/>
        <w:t>for</w:t>
      </w:r>
      <w:r>
        <w:rPr>
          <w:spacing w:val="40"/>
        </w:rPr>
        <w:t> </w:t>
      </w:r>
      <w:r>
        <w:rPr/>
        <w:t>the</w:t>
      </w:r>
      <w:r>
        <w:rPr>
          <w:spacing w:val="40"/>
        </w:rPr>
        <w:t> </w:t>
      </w:r>
      <w:r>
        <w:rPr/>
        <w:t>concrete</w:t>
      </w:r>
      <w:r>
        <w:rPr>
          <w:spacing w:val="40"/>
        </w:rPr>
        <w:t> </w:t>
      </w:r>
      <w:r>
        <w:rPr/>
        <w:t>affirmation</w:t>
      </w:r>
      <w:r>
        <w:rPr>
          <w:spacing w:val="40"/>
        </w:rPr>
        <w:t> </w:t>
      </w:r>
      <w:r>
        <w:rPr/>
        <w:t>of</w:t>
      </w:r>
      <w:r>
        <w:rPr>
          <w:spacing w:val="40"/>
        </w:rPr>
        <w:t> </w:t>
      </w:r>
      <w:r>
        <w:rPr/>
        <w:t>their solidarity in favour of Africa’s cause;</w:t>
      </w:r>
    </w:p>
    <w:p>
      <w:pPr>
        <w:pStyle w:val="BodyText"/>
        <w:spacing w:before="7"/>
        <w:rPr>
          <w:sz w:val="33"/>
        </w:rPr>
      </w:pPr>
    </w:p>
    <w:p>
      <w:pPr>
        <w:pStyle w:val="BodyText"/>
        <w:spacing w:line="369" w:lineRule="auto"/>
        <w:ind w:left="171" w:right="105" w:firstLine="676"/>
        <w:jc w:val="both"/>
      </w:pPr>
      <w:r>
        <w:rPr>
          <w:b/>
          <w:u w:val="single"/>
        </w:rPr>
        <w:t>Considering</w:t>
      </w:r>
      <w:r>
        <w:rPr>
          <w:b/>
          <w:spacing w:val="40"/>
          <w:u w:val="single"/>
        </w:rPr>
        <w:t> </w:t>
      </w:r>
      <w:r>
        <w:rPr>
          <w:b/>
          <w:u w:val="single"/>
        </w:rPr>
        <w:t>further</w:t>
      </w:r>
      <w:r>
        <w:rPr>
          <w:b/>
          <w:spacing w:val="40"/>
        </w:rPr>
        <w:t> </w:t>
      </w:r>
      <w:r>
        <w:rPr/>
        <w:t>that</w:t>
      </w:r>
      <w:r>
        <w:rPr>
          <w:spacing w:val="40"/>
        </w:rPr>
        <w:t> </w:t>
      </w:r>
      <w:r>
        <w:rPr/>
        <w:t>Member</w:t>
      </w:r>
      <w:r>
        <w:rPr>
          <w:spacing w:val="40"/>
        </w:rPr>
        <w:t> </w:t>
      </w:r>
      <w:r>
        <w:rPr/>
        <w:t>States</w:t>
      </w:r>
      <w:r>
        <w:rPr>
          <w:spacing w:val="40"/>
        </w:rPr>
        <w:t> </w:t>
      </w:r>
      <w:r>
        <w:rPr/>
        <w:t>of</w:t>
      </w:r>
      <w:r>
        <w:rPr>
          <w:spacing w:val="40"/>
        </w:rPr>
        <w:t> </w:t>
      </w:r>
      <w:r>
        <w:rPr/>
        <w:t>the</w:t>
      </w:r>
      <w:r>
        <w:rPr>
          <w:spacing w:val="40"/>
        </w:rPr>
        <w:t> </w:t>
      </w:r>
      <w:r>
        <w:rPr/>
        <w:t>OAU</w:t>
      </w:r>
      <w:r>
        <w:rPr>
          <w:spacing w:val="40"/>
        </w:rPr>
        <w:t> </w:t>
      </w:r>
      <w:r>
        <w:rPr/>
        <w:t>have</w:t>
      </w:r>
      <w:r>
        <w:rPr>
          <w:spacing w:val="40"/>
        </w:rPr>
        <w:t> </w:t>
      </w:r>
      <w:r>
        <w:rPr/>
        <w:t>in</w:t>
      </w:r>
      <w:r>
        <w:rPr>
          <w:spacing w:val="40"/>
        </w:rPr>
        <w:t> </w:t>
      </w:r>
      <w:r>
        <w:rPr/>
        <w:t>the</w:t>
      </w:r>
      <w:r>
        <w:rPr>
          <w:spacing w:val="40"/>
        </w:rPr>
        <w:t> </w:t>
      </w:r>
      <w:r>
        <w:rPr/>
        <w:t>past</w:t>
      </w:r>
      <w:r>
        <w:rPr>
          <w:spacing w:val="40"/>
        </w:rPr>
        <w:t> </w:t>
      </w:r>
      <w:r>
        <w:rPr/>
        <w:t>played</w:t>
      </w:r>
      <w:r>
        <w:rPr>
          <w:spacing w:val="40"/>
        </w:rPr>
        <w:t> </w:t>
      </w:r>
      <w:r>
        <w:rPr/>
        <w:t>a significant role in the Non-Aligned Movement strengthening the unity and solidarity of the Non- Aligned</w:t>
      </w:r>
      <w:r>
        <w:rPr>
          <w:spacing w:val="40"/>
        </w:rPr>
        <w:t> </w:t>
      </w:r>
      <w:r>
        <w:rPr/>
        <w:t>Countries</w:t>
      </w:r>
      <w:r>
        <w:rPr>
          <w:spacing w:val="40"/>
        </w:rPr>
        <w:t> </w:t>
      </w:r>
      <w:r>
        <w:rPr/>
        <w:t>in</w:t>
      </w:r>
      <w:r>
        <w:rPr>
          <w:spacing w:val="40"/>
        </w:rPr>
        <w:t> </w:t>
      </w:r>
      <w:r>
        <w:rPr/>
        <w:t>their</w:t>
      </w:r>
      <w:r>
        <w:rPr>
          <w:spacing w:val="40"/>
        </w:rPr>
        <w:t> </w:t>
      </w:r>
      <w:r>
        <w:rPr/>
        <w:t>efforts</w:t>
      </w:r>
      <w:r>
        <w:rPr>
          <w:spacing w:val="40"/>
        </w:rPr>
        <w:t> </w:t>
      </w:r>
      <w:r>
        <w:rPr/>
        <w:t>to</w:t>
      </w:r>
      <w:r>
        <w:rPr>
          <w:spacing w:val="40"/>
        </w:rPr>
        <w:t> </w:t>
      </w:r>
      <w:r>
        <w:rPr/>
        <w:t>maintain</w:t>
      </w:r>
      <w:r>
        <w:rPr>
          <w:spacing w:val="40"/>
        </w:rPr>
        <w:t> </w:t>
      </w:r>
      <w:r>
        <w:rPr/>
        <w:t>international</w:t>
      </w:r>
      <w:r>
        <w:rPr>
          <w:spacing w:val="40"/>
        </w:rPr>
        <w:t> </w:t>
      </w:r>
      <w:r>
        <w:rPr/>
        <w:t>peace</w:t>
      </w:r>
      <w:r>
        <w:rPr>
          <w:spacing w:val="40"/>
        </w:rPr>
        <w:t> </w:t>
      </w:r>
      <w:r>
        <w:rPr/>
        <w:t>and</w:t>
      </w:r>
      <w:r>
        <w:rPr>
          <w:spacing w:val="40"/>
        </w:rPr>
        <w:t> </w:t>
      </w:r>
      <w:r>
        <w:rPr/>
        <w:t>security</w:t>
      </w:r>
      <w:r>
        <w:rPr>
          <w:spacing w:val="40"/>
        </w:rPr>
        <w:t> </w:t>
      </w:r>
      <w:r>
        <w:rPr/>
        <w:t>and</w:t>
      </w:r>
      <w:r>
        <w:rPr>
          <w:spacing w:val="40"/>
        </w:rPr>
        <w:t> </w:t>
      </w:r>
      <w:r>
        <w:rPr/>
        <w:t>giving stimulus to the struggle waged by peoples under colonial domination for self-determination and </w:t>
      </w:r>
      <w:r>
        <w:rPr>
          <w:spacing w:val="-2"/>
        </w:rPr>
        <w:t>independence;</w:t>
      </w:r>
    </w:p>
    <w:p>
      <w:pPr>
        <w:pStyle w:val="BodyText"/>
        <w:spacing w:before="6"/>
        <w:rPr>
          <w:sz w:val="33"/>
        </w:rPr>
      </w:pPr>
    </w:p>
    <w:p>
      <w:pPr>
        <w:pStyle w:val="BodyText"/>
        <w:spacing w:line="374" w:lineRule="auto"/>
        <w:ind w:left="171" w:right="112" w:firstLine="676"/>
        <w:jc w:val="both"/>
      </w:pPr>
      <w:r>
        <w:rPr>
          <w:b/>
          <w:u w:val="single"/>
        </w:rPr>
        <w:t>Convinced</w:t>
      </w:r>
      <w:r>
        <w:rPr>
          <w:b/>
          <w:spacing w:val="40"/>
          <w:u w:val="single"/>
        </w:rPr>
        <w:t> </w:t>
      </w:r>
      <w:r>
        <w:rPr/>
        <w:t>that</w:t>
      </w:r>
      <w:r>
        <w:rPr>
          <w:spacing w:val="34"/>
        </w:rPr>
        <w:t> </w:t>
      </w:r>
      <w:r>
        <w:rPr/>
        <w:t>the</w:t>
      </w:r>
      <w:r>
        <w:rPr>
          <w:spacing w:val="34"/>
        </w:rPr>
        <w:t> </w:t>
      </w:r>
      <w:r>
        <w:rPr/>
        <w:t>strengthening</w:t>
      </w:r>
      <w:r>
        <w:rPr>
          <w:spacing w:val="34"/>
        </w:rPr>
        <w:t> </w:t>
      </w:r>
      <w:r>
        <w:rPr/>
        <w:t>of</w:t>
      </w:r>
      <w:r>
        <w:rPr>
          <w:spacing w:val="34"/>
        </w:rPr>
        <w:t> </w:t>
      </w:r>
      <w:r>
        <w:rPr/>
        <w:t>Non-Aligned</w:t>
      </w:r>
      <w:r>
        <w:rPr>
          <w:spacing w:val="33"/>
        </w:rPr>
        <w:t> </w:t>
      </w:r>
      <w:r>
        <w:rPr/>
        <w:t>Movement</w:t>
      </w:r>
      <w:r>
        <w:rPr>
          <w:spacing w:val="33"/>
        </w:rPr>
        <w:t> </w:t>
      </w:r>
      <w:r>
        <w:rPr/>
        <w:t>will</w:t>
      </w:r>
      <w:r>
        <w:rPr>
          <w:spacing w:val="33"/>
        </w:rPr>
        <w:t> </w:t>
      </w:r>
      <w:r>
        <w:rPr/>
        <w:t>contribute</w:t>
      </w:r>
      <w:r>
        <w:rPr>
          <w:spacing w:val="33"/>
        </w:rPr>
        <w:t> </w:t>
      </w:r>
      <w:r>
        <w:rPr/>
        <w:t>directly</w:t>
      </w:r>
      <w:r>
        <w:rPr>
          <w:spacing w:val="33"/>
        </w:rPr>
        <w:t> </w:t>
      </w:r>
      <w:r>
        <w:rPr/>
        <w:t>to the efforts of the OAU.</w:t>
      </w:r>
    </w:p>
    <w:p>
      <w:pPr>
        <w:spacing w:after="0" w:line="374" w:lineRule="auto"/>
        <w:jc w:val="both"/>
        <w:sectPr>
          <w:headerReference w:type="default" r:id="rId5"/>
          <w:type w:val="continuous"/>
          <w:pgSz w:w="12240" w:h="15840"/>
          <w:pgMar w:header="700" w:footer="0" w:top="1820" w:bottom="280" w:left="1720" w:right="1440"/>
          <w:pgNumType w:start="23"/>
        </w:sectPr>
      </w:pPr>
    </w:p>
    <w:p>
      <w:pPr>
        <w:pStyle w:val="BodyText"/>
        <w:rPr>
          <w:sz w:val="20"/>
        </w:rPr>
      </w:pPr>
    </w:p>
    <w:p>
      <w:pPr>
        <w:pStyle w:val="BodyText"/>
        <w:spacing w:before="2"/>
        <w:rPr>
          <w:sz w:val="21"/>
        </w:rPr>
      </w:pPr>
    </w:p>
    <w:p>
      <w:pPr>
        <w:pStyle w:val="ListParagraph"/>
        <w:numPr>
          <w:ilvl w:val="0"/>
          <w:numId w:val="1"/>
        </w:numPr>
        <w:tabs>
          <w:tab w:pos="1189" w:val="left" w:leader="none"/>
        </w:tabs>
        <w:spacing w:line="369" w:lineRule="auto" w:before="1" w:after="0"/>
        <w:ind w:left="1188" w:right="112" w:hanging="341"/>
        <w:jc w:val="both"/>
        <w:rPr>
          <w:sz w:val="22"/>
        </w:rPr>
      </w:pPr>
      <w:r>
        <w:rPr>
          <w:b/>
          <w:sz w:val="22"/>
        </w:rPr>
        <w:t>WELCOMES </w:t>
      </w:r>
      <w:r>
        <w:rPr>
          <w:sz w:val="22"/>
        </w:rPr>
        <w:t>the consultations which have been established among OAU Member States with a view to defining a common stand on African problems and those of the Third World;</w:t>
      </w:r>
    </w:p>
    <w:p>
      <w:pPr>
        <w:pStyle w:val="BodyText"/>
        <w:rPr>
          <w:sz w:val="34"/>
        </w:rPr>
      </w:pPr>
    </w:p>
    <w:p>
      <w:pPr>
        <w:pStyle w:val="ListParagraph"/>
        <w:numPr>
          <w:ilvl w:val="0"/>
          <w:numId w:val="1"/>
        </w:numPr>
        <w:tabs>
          <w:tab w:pos="1190" w:val="left" w:leader="none"/>
        </w:tabs>
        <w:spacing w:line="369" w:lineRule="auto" w:before="0" w:after="0"/>
        <w:ind w:left="1188" w:right="112" w:hanging="341"/>
        <w:jc w:val="both"/>
        <w:rPr>
          <w:sz w:val="22"/>
        </w:rPr>
      </w:pPr>
      <w:r>
        <w:rPr>
          <w:b/>
          <w:sz w:val="22"/>
        </w:rPr>
        <w:t>BELIEVES </w:t>
      </w:r>
      <w:r>
        <w:rPr>
          <w:sz w:val="22"/>
        </w:rPr>
        <w:t>that the Fifth Summit of the Non-Aligned Countries would constitute an important step in the consolidation of the movement by intensifying its action and its growing role in international relations, in particular, for the promotion of peace and security, the freedom and independence of countries still under colonial rule, the elimination of aggression and foreign occupation, the establishment of a new international economic order and the democratization of international relations;</w:t>
      </w:r>
    </w:p>
    <w:p>
      <w:pPr>
        <w:pStyle w:val="BodyText"/>
        <w:rPr>
          <w:sz w:val="33"/>
        </w:rPr>
      </w:pPr>
    </w:p>
    <w:p>
      <w:pPr>
        <w:pStyle w:val="ListParagraph"/>
        <w:numPr>
          <w:ilvl w:val="0"/>
          <w:numId w:val="1"/>
        </w:numPr>
        <w:tabs>
          <w:tab w:pos="1189" w:val="left" w:leader="none"/>
        </w:tabs>
        <w:spacing w:line="372" w:lineRule="auto" w:before="0" w:after="0"/>
        <w:ind w:left="1188" w:right="114" w:hanging="341"/>
        <w:jc w:val="both"/>
        <w:rPr>
          <w:sz w:val="22"/>
        </w:rPr>
      </w:pPr>
      <w:r>
        <w:rPr>
          <w:b/>
          <w:sz w:val="22"/>
        </w:rPr>
        <w:t>INVITES </w:t>
      </w:r>
      <w:r>
        <w:rPr>
          <w:sz w:val="22"/>
        </w:rPr>
        <w:t>Member State to participate at the highest level at the Fifth Conference of Non-Aligned Countries to be held in Colombo in August 1976 in order to ensure its </w:t>
      </w:r>
      <w:r>
        <w:rPr>
          <w:spacing w:val="-2"/>
          <w:sz w:val="22"/>
        </w:rPr>
        <w:t>success.</w:t>
      </w:r>
    </w:p>
    <w:sectPr>
      <w:pgSz w:w="12240" w:h="15840"/>
      <w:pgMar w:header="700" w:footer="0" w:top="18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7.160004pt;margin-top:33.996525pt;width:92.65pt;height:23.55pt;mso-position-horizontal-relative:page;mso-position-vertical-relative:page;z-index:-15759360" type="#_x0000_t202" id="docshape1" filled="false" stroked="false">
          <v:textbox inset="0,0,0,0">
            <w:txbxContent>
              <w:p>
                <w:pPr>
                  <w:spacing w:before="11"/>
                  <w:ind w:left="20" w:right="0" w:firstLine="0"/>
                  <w:jc w:val="left"/>
                  <w:rPr>
                    <w:sz w:val="19"/>
                  </w:rPr>
                </w:pPr>
                <w:r>
                  <w:rPr>
                    <w:sz w:val="19"/>
                  </w:rPr>
                  <w:t>CM/RES</w:t>
                </w:r>
                <w:r>
                  <w:rPr>
                    <w:spacing w:val="45"/>
                    <w:sz w:val="19"/>
                  </w:rPr>
                  <w:t> </w:t>
                </w:r>
                <w:r>
                  <w:rPr>
                    <w:sz w:val="19"/>
                  </w:rPr>
                  <w:t>487</w:t>
                </w:r>
                <w:r>
                  <w:rPr>
                    <w:spacing w:val="46"/>
                    <w:sz w:val="19"/>
                  </w:rPr>
                  <w:t> </w:t>
                </w:r>
                <w:r>
                  <w:rPr>
                    <w:spacing w:val="-2"/>
                    <w:sz w:val="19"/>
                  </w:rPr>
                  <w:t>(XXVII)</w:t>
                </w:r>
              </w:p>
              <w:p>
                <w:pPr>
                  <w:spacing w:before="3"/>
                  <w:ind w:left="3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23</w:t>
                </w:r>
                <w:r>
                  <w:rPr>
                    <w:spacing w:val="-5"/>
                    <w:sz w:val="1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85"/>
      <w:ind w:left="2907" w:right="1512" w:hanging="1690"/>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12"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2023-06-07T08:49:29Z</dcterms:created>
  <dcterms:modified xsi:type="dcterms:W3CDTF">2023-06-07T08:49:29Z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