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4" w:lineRule="auto"/>
        <w:rPr>
          <w:u w:val="none"/>
        </w:rPr>
      </w:pPr>
      <w:r>
        <w:rPr>
          <w:u w:val="single"/>
        </w:rPr>
        <w:t>RESOLUTION ON THE SECOND</w:t>
      </w:r>
      <w:r>
        <w:rPr>
          <w:spacing w:val="35"/>
          <w:u w:val="single"/>
        </w:rPr>
        <w:t> </w:t>
      </w:r>
      <w:r>
        <w:rPr>
          <w:u w:val="single"/>
        </w:rPr>
        <w:t>CONFERENCE OF AFRICAN MINISTERS OF</w:t>
      </w:r>
      <w:r>
        <w:rPr>
          <w:u w:val="none"/>
        </w:rPr>
        <w:t> </w:t>
      </w:r>
      <w:r>
        <w:rPr>
          <w:u w:val="single"/>
        </w:rPr>
        <w:t>SOCIAL AFFAIRS</w:t>
      </w:r>
    </w:p>
    <w:p>
      <w:pPr>
        <w:pStyle w:val="BodyText"/>
        <w:spacing w:before="10"/>
        <w:rPr>
          <w:b/>
          <w:sz w:val="25"/>
        </w:rPr>
      </w:pPr>
    </w:p>
    <w:p>
      <w:pPr>
        <w:pStyle w:val="BodyText"/>
        <w:spacing w:line="369" w:lineRule="auto" w:before="95"/>
        <w:ind w:left="171" w:right="116" w:firstLine="676"/>
        <w:jc w:val="both"/>
      </w:pPr>
      <w:r>
        <w:rPr/>
        <w:t>The Council of Ministers of the Organization of African Unity meeting in its Twenty- Seventh Ordinary Session at Port Louis, Mauritius, from 24 June to 3</w:t>
      </w:r>
      <w:r>
        <w:rPr>
          <w:vertAlign w:val="superscript"/>
        </w:rPr>
        <w:t>rd</w:t>
      </w:r>
      <w:r>
        <w:rPr>
          <w:vertAlign w:val="baseline"/>
        </w:rPr>
        <w:t> July, 1976.</w:t>
      </w:r>
    </w:p>
    <w:p>
      <w:pPr>
        <w:pStyle w:val="BodyText"/>
        <w:spacing w:before="8"/>
        <w:rPr>
          <w:sz w:val="33"/>
        </w:rPr>
      </w:pPr>
    </w:p>
    <w:p>
      <w:pPr>
        <w:pStyle w:val="BodyText"/>
        <w:spacing w:line="369" w:lineRule="auto"/>
        <w:ind w:left="171" w:right="105" w:firstLine="676"/>
        <w:jc w:val="both"/>
      </w:pPr>
      <w:r>
        <w:rPr/>
        <w:t>Recalling the African Declaration on Co-operation, Development and Economic Independence, and more particularly its operative paragraphs related to Mobilization of Human Resources, adopted by the OAU Assembly of Heads of State and Government in May 1973 – Document CM/ST.12 (XXI);</w:t>
      </w:r>
    </w:p>
    <w:p>
      <w:pPr>
        <w:pStyle w:val="BodyText"/>
        <w:spacing w:before="11"/>
        <w:rPr>
          <w:sz w:val="33"/>
        </w:rPr>
      </w:pPr>
    </w:p>
    <w:p>
      <w:pPr>
        <w:pStyle w:val="BodyText"/>
        <w:spacing w:line="367" w:lineRule="auto"/>
        <w:ind w:left="171" w:right="113" w:firstLine="676"/>
        <w:jc w:val="both"/>
      </w:pPr>
      <w:r>
        <w:rPr>
          <w:b/>
          <w:u w:val="single"/>
        </w:rPr>
        <w:t>Recalling</w:t>
      </w:r>
      <w:r>
        <w:rPr>
          <w:b/>
        </w:rPr>
        <w:t> </w:t>
      </w:r>
      <w:r>
        <w:rPr/>
        <w:t>also that since 1967 African Ministers responsible for social welfare, rural development, youth, social development and related fields did not have the opportunity of reviewing together the African social situation and the problems related to social development on the continent;</w:t>
      </w:r>
    </w:p>
    <w:p>
      <w:pPr>
        <w:pStyle w:val="BodyText"/>
        <w:spacing w:before="5"/>
        <w:rPr>
          <w:sz w:val="34"/>
        </w:rPr>
      </w:pPr>
    </w:p>
    <w:p>
      <w:pPr>
        <w:pStyle w:val="BodyText"/>
        <w:spacing w:line="367" w:lineRule="auto"/>
        <w:ind w:left="171" w:right="115" w:firstLine="676"/>
        <w:jc w:val="both"/>
      </w:pPr>
      <w:r>
        <w:rPr>
          <w:b/>
          <w:u w:val="single"/>
        </w:rPr>
        <w:t>Considering</w:t>
      </w:r>
      <w:r>
        <w:rPr>
          <w:b/>
        </w:rPr>
        <w:t> </w:t>
      </w:r>
      <w:r>
        <w:rPr/>
        <w:t>that there is a need to study the social implications of the New International Economic Order, in order to develop the appropriate and common approach and strategies for</w:t>
      </w:r>
      <w:r>
        <w:rPr>
          <w:spacing w:val="40"/>
        </w:rPr>
        <w:t> </w:t>
      </w:r>
      <w:r>
        <w:rPr/>
        <w:t>social development in Africa;</w:t>
      </w:r>
    </w:p>
    <w:p>
      <w:pPr>
        <w:pStyle w:val="BodyText"/>
        <w:spacing w:before="3"/>
        <w:rPr>
          <w:sz w:val="34"/>
        </w:rPr>
      </w:pPr>
    </w:p>
    <w:p>
      <w:pPr>
        <w:spacing w:before="0"/>
        <w:ind w:left="848" w:right="0" w:firstLine="0"/>
        <w:jc w:val="left"/>
        <w:rPr>
          <w:sz w:val="22"/>
        </w:rPr>
      </w:pPr>
      <w:r>
        <w:rPr>
          <w:b/>
          <w:sz w:val="22"/>
          <w:u w:val="single"/>
        </w:rPr>
        <w:t>Having</w:t>
      </w:r>
      <w:r>
        <w:rPr>
          <w:b/>
          <w:spacing w:val="8"/>
          <w:sz w:val="22"/>
          <w:u w:val="single"/>
        </w:rPr>
        <w:t> </w:t>
      </w:r>
      <w:r>
        <w:rPr>
          <w:b/>
          <w:sz w:val="22"/>
          <w:u w:val="single"/>
        </w:rPr>
        <w:t>examined</w:t>
      </w:r>
      <w:r>
        <w:rPr>
          <w:b/>
          <w:spacing w:val="11"/>
          <w:sz w:val="22"/>
        </w:rPr>
        <w:t> </w:t>
      </w:r>
      <w:r>
        <w:rPr>
          <w:sz w:val="22"/>
        </w:rPr>
        <w:t>document</w:t>
      </w:r>
      <w:r>
        <w:rPr>
          <w:spacing w:val="11"/>
          <w:sz w:val="22"/>
        </w:rPr>
        <w:t> </w:t>
      </w:r>
      <w:r>
        <w:rPr>
          <w:sz w:val="22"/>
        </w:rPr>
        <w:t>CM/733</w:t>
      </w:r>
      <w:r>
        <w:rPr>
          <w:spacing w:val="12"/>
          <w:sz w:val="22"/>
        </w:rPr>
        <w:t> </w:t>
      </w:r>
      <w:r>
        <w:rPr>
          <w:sz w:val="22"/>
        </w:rPr>
        <w:t>(XXVII)</w:t>
      </w:r>
      <w:r>
        <w:rPr>
          <w:spacing w:val="11"/>
          <w:sz w:val="22"/>
        </w:rPr>
        <w:t> </w:t>
      </w:r>
      <w:r>
        <w:rPr>
          <w:sz w:val="22"/>
        </w:rPr>
        <w:t>Add.</w:t>
      </w:r>
      <w:r>
        <w:rPr>
          <w:spacing w:val="12"/>
          <w:sz w:val="22"/>
        </w:rPr>
        <w:t> </w:t>
      </w:r>
      <w:r>
        <w:rPr>
          <w:spacing w:val="-5"/>
          <w:sz w:val="22"/>
        </w:rPr>
        <w:t>2;</w:t>
      </w:r>
    </w:p>
    <w:p>
      <w:pPr>
        <w:pStyle w:val="BodyText"/>
        <w:rPr>
          <w:sz w:val="24"/>
        </w:rPr>
      </w:pPr>
    </w:p>
    <w:p>
      <w:pPr>
        <w:pStyle w:val="BodyText"/>
        <w:spacing w:before="7"/>
        <w:rPr>
          <w:sz w:val="21"/>
        </w:rPr>
      </w:pPr>
    </w:p>
    <w:p>
      <w:pPr>
        <w:pStyle w:val="BodyText"/>
        <w:spacing w:line="374" w:lineRule="auto"/>
        <w:ind w:left="171" w:right="117" w:firstLine="676"/>
        <w:jc w:val="both"/>
      </w:pPr>
      <w:r>
        <w:rPr>
          <w:b/>
          <w:u w:val="single"/>
        </w:rPr>
        <w:t>Noting</w:t>
      </w:r>
      <w:r>
        <w:rPr>
          <w:b/>
        </w:rPr>
        <w:t> </w:t>
      </w:r>
      <w:r>
        <w:rPr/>
        <w:t>the arrangements envisaged and underway by the Government of the Arab</w:t>
      </w:r>
      <w:r>
        <w:rPr>
          <w:spacing w:val="80"/>
        </w:rPr>
        <w:t> </w:t>
      </w:r>
      <w:r>
        <w:rPr/>
        <w:t>Republic of Egypt and the United Nations Economic Commission for Africa (ECA);</w:t>
      </w:r>
    </w:p>
    <w:p>
      <w:pPr>
        <w:pStyle w:val="BodyText"/>
        <w:spacing w:before="9"/>
        <w:rPr>
          <w:sz w:val="32"/>
        </w:rPr>
      </w:pPr>
    </w:p>
    <w:p>
      <w:pPr>
        <w:pStyle w:val="ListParagraph"/>
        <w:numPr>
          <w:ilvl w:val="0"/>
          <w:numId w:val="1"/>
        </w:numPr>
        <w:tabs>
          <w:tab w:pos="1189" w:val="left" w:leader="none"/>
        </w:tabs>
        <w:spacing w:line="372" w:lineRule="auto" w:before="0" w:after="0"/>
        <w:ind w:left="1188" w:right="110" w:hanging="341"/>
        <w:jc w:val="both"/>
        <w:rPr>
          <w:sz w:val="22"/>
        </w:rPr>
      </w:pPr>
      <w:r>
        <w:rPr>
          <w:b/>
          <w:sz w:val="22"/>
        </w:rPr>
        <w:t>RECOMMENDS </w:t>
      </w:r>
      <w:r>
        <w:rPr>
          <w:sz w:val="22"/>
        </w:rPr>
        <w:t>that the Organization of African Unity co-sponsors the Second Conference of African Ministers of Social Affairs, with the Government of the Arab Republic of Egypt, and the United Nations Economic Commission for Africa;</w:t>
      </w:r>
    </w:p>
    <w:p>
      <w:pPr>
        <w:pStyle w:val="BodyText"/>
        <w:spacing w:before="4"/>
        <w:rPr>
          <w:sz w:val="33"/>
        </w:rPr>
      </w:pPr>
    </w:p>
    <w:p>
      <w:pPr>
        <w:pStyle w:val="ListParagraph"/>
        <w:numPr>
          <w:ilvl w:val="0"/>
          <w:numId w:val="1"/>
        </w:numPr>
        <w:tabs>
          <w:tab w:pos="1189" w:val="left" w:leader="none"/>
        </w:tabs>
        <w:spacing w:line="364" w:lineRule="auto" w:before="1" w:after="0"/>
        <w:ind w:left="1188" w:right="105" w:hanging="341"/>
        <w:jc w:val="both"/>
        <w:rPr>
          <w:sz w:val="22"/>
        </w:rPr>
      </w:pPr>
      <w:r>
        <w:rPr>
          <w:b/>
          <w:sz w:val="22"/>
        </w:rPr>
        <w:t>CALLS</w:t>
      </w:r>
      <w:r>
        <w:rPr>
          <w:b/>
          <w:spacing w:val="40"/>
          <w:sz w:val="22"/>
        </w:rPr>
        <w:t> </w:t>
      </w:r>
      <w:r>
        <w:rPr>
          <w:b/>
          <w:sz w:val="22"/>
        </w:rPr>
        <w:t>UPON</w:t>
      </w:r>
      <w:r>
        <w:rPr>
          <w:b/>
          <w:spacing w:val="40"/>
          <w:sz w:val="22"/>
        </w:rPr>
        <w:t> </w:t>
      </w:r>
      <w:r>
        <w:rPr>
          <w:sz w:val="22"/>
        </w:rPr>
        <w:t>all</w:t>
      </w:r>
      <w:r>
        <w:rPr>
          <w:spacing w:val="40"/>
          <w:sz w:val="22"/>
        </w:rPr>
        <w:t> </w:t>
      </w:r>
      <w:r>
        <w:rPr>
          <w:sz w:val="22"/>
        </w:rPr>
        <w:t>OAU</w:t>
      </w:r>
      <w:r>
        <w:rPr>
          <w:spacing w:val="40"/>
          <w:sz w:val="22"/>
        </w:rPr>
        <w:t> </w:t>
      </w:r>
      <w:r>
        <w:rPr>
          <w:sz w:val="22"/>
        </w:rPr>
        <w:t>Member</w:t>
      </w:r>
      <w:r>
        <w:rPr>
          <w:spacing w:val="40"/>
          <w:sz w:val="22"/>
        </w:rPr>
        <w:t> </w:t>
      </w:r>
      <w:r>
        <w:rPr>
          <w:sz w:val="22"/>
        </w:rPr>
        <w:t>States</w:t>
      </w:r>
      <w:r>
        <w:rPr>
          <w:spacing w:val="40"/>
          <w:sz w:val="22"/>
        </w:rPr>
        <w:t> </w:t>
      </w:r>
      <w:r>
        <w:rPr>
          <w:sz w:val="22"/>
        </w:rPr>
        <w:t>to</w:t>
      </w:r>
      <w:r>
        <w:rPr>
          <w:spacing w:val="40"/>
          <w:sz w:val="22"/>
        </w:rPr>
        <w:t> </w:t>
      </w:r>
      <w:r>
        <w:rPr>
          <w:sz w:val="22"/>
        </w:rPr>
        <w:t>actively</w:t>
      </w:r>
      <w:r>
        <w:rPr>
          <w:spacing w:val="40"/>
          <w:sz w:val="22"/>
        </w:rPr>
        <w:t> </w:t>
      </w:r>
      <w:r>
        <w:rPr>
          <w:sz w:val="22"/>
        </w:rPr>
        <w:t>participate,</w:t>
      </w:r>
      <w:r>
        <w:rPr>
          <w:spacing w:val="40"/>
          <w:sz w:val="22"/>
        </w:rPr>
        <w:t> </w:t>
      </w:r>
      <w:r>
        <w:rPr>
          <w:sz w:val="22"/>
        </w:rPr>
        <w:t>at</w:t>
      </w:r>
      <w:r>
        <w:rPr>
          <w:spacing w:val="40"/>
          <w:sz w:val="22"/>
        </w:rPr>
        <w:t> </w:t>
      </w:r>
      <w:r>
        <w:rPr>
          <w:sz w:val="22"/>
        </w:rPr>
        <w:t>the</w:t>
      </w:r>
      <w:r>
        <w:rPr>
          <w:spacing w:val="40"/>
          <w:sz w:val="22"/>
        </w:rPr>
        <w:t> </w:t>
      </w:r>
      <w:r>
        <w:rPr>
          <w:sz w:val="22"/>
        </w:rPr>
        <w:t>highest possible level, in this important meeting.</w:t>
      </w:r>
    </w:p>
    <w:p>
      <w:pPr>
        <w:spacing w:after="0" w:line="364" w:lineRule="auto"/>
        <w:jc w:val="both"/>
        <w:rPr>
          <w:sz w:val="22"/>
        </w:rPr>
        <w:sectPr>
          <w:headerReference w:type="default" r:id="rId5"/>
          <w:type w:val="continuous"/>
          <w:pgSz w:w="12240" w:h="15840"/>
          <w:pgMar w:header="700" w:footer="0" w:top="1440" w:bottom="280" w:left="1720" w:right="1440"/>
          <w:pgNumType w:start="51"/>
        </w:sectPr>
      </w:pPr>
    </w:p>
    <w:p>
      <w:pPr>
        <w:pStyle w:val="BodyText"/>
        <w:rPr>
          <w:sz w:val="20"/>
        </w:rPr>
      </w:pPr>
    </w:p>
    <w:p>
      <w:pPr>
        <w:pStyle w:val="BodyText"/>
        <w:spacing w:before="4"/>
        <w:rPr>
          <w:sz w:val="20"/>
        </w:rPr>
      </w:pPr>
    </w:p>
    <w:p>
      <w:pPr>
        <w:pStyle w:val="ListParagraph"/>
        <w:numPr>
          <w:ilvl w:val="0"/>
          <w:numId w:val="1"/>
        </w:numPr>
        <w:tabs>
          <w:tab w:pos="1189" w:val="left" w:leader="none"/>
        </w:tabs>
        <w:spacing w:line="369" w:lineRule="auto" w:before="1" w:after="0"/>
        <w:ind w:left="1188" w:right="109" w:hanging="341"/>
        <w:jc w:val="both"/>
        <w:rPr>
          <w:sz w:val="22"/>
        </w:rPr>
      </w:pPr>
      <w:r>
        <w:rPr>
          <w:b/>
          <w:sz w:val="22"/>
        </w:rPr>
        <w:t>INVITES</w:t>
      </w:r>
      <w:r>
        <w:rPr>
          <w:b/>
          <w:spacing w:val="40"/>
          <w:sz w:val="22"/>
        </w:rPr>
        <w:t> </w:t>
      </w:r>
      <w:r>
        <w:rPr>
          <w:sz w:val="22"/>
        </w:rPr>
        <w:t>the attention of all OAU Member States to the need of establishing in</w:t>
      </w:r>
      <w:r>
        <w:rPr>
          <w:spacing w:val="80"/>
          <w:sz w:val="22"/>
        </w:rPr>
        <w:t> </w:t>
      </w:r>
      <w:r>
        <w:rPr>
          <w:sz w:val="22"/>
        </w:rPr>
        <w:t>Africa,</w:t>
      </w:r>
      <w:r>
        <w:rPr>
          <w:spacing w:val="40"/>
          <w:sz w:val="22"/>
        </w:rPr>
        <w:t> </w:t>
      </w:r>
      <w:r>
        <w:rPr>
          <w:sz w:val="22"/>
        </w:rPr>
        <w:t>with</w:t>
      </w:r>
      <w:r>
        <w:rPr>
          <w:spacing w:val="40"/>
          <w:sz w:val="22"/>
        </w:rPr>
        <w:t> </w:t>
      </w:r>
      <w:r>
        <w:rPr>
          <w:sz w:val="22"/>
        </w:rPr>
        <w:t>African</w:t>
      </w:r>
      <w:r>
        <w:rPr>
          <w:spacing w:val="40"/>
          <w:sz w:val="22"/>
        </w:rPr>
        <w:t> </w:t>
      </w:r>
      <w:r>
        <w:rPr>
          <w:sz w:val="22"/>
        </w:rPr>
        <w:t>resources</w:t>
      </w:r>
      <w:r>
        <w:rPr>
          <w:spacing w:val="39"/>
          <w:sz w:val="22"/>
        </w:rPr>
        <w:t> </w:t>
      </w:r>
      <w:r>
        <w:rPr>
          <w:sz w:val="22"/>
        </w:rPr>
        <w:t>and</w:t>
      </w:r>
      <w:r>
        <w:rPr>
          <w:spacing w:val="40"/>
          <w:sz w:val="22"/>
        </w:rPr>
        <w:t> </w:t>
      </w:r>
      <w:r>
        <w:rPr>
          <w:sz w:val="22"/>
        </w:rPr>
        <w:t>other</w:t>
      </w:r>
      <w:r>
        <w:rPr>
          <w:spacing w:val="39"/>
          <w:sz w:val="22"/>
        </w:rPr>
        <w:t> </w:t>
      </w:r>
      <w:r>
        <w:rPr>
          <w:sz w:val="22"/>
        </w:rPr>
        <w:t>possible</w:t>
      </w:r>
      <w:r>
        <w:rPr>
          <w:spacing w:val="39"/>
          <w:sz w:val="22"/>
        </w:rPr>
        <w:t> </w:t>
      </w:r>
      <w:r>
        <w:rPr>
          <w:sz w:val="22"/>
        </w:rPr>
        <w:t>contributions,</w:t>
      </w:r>
      <w:r>
        <w:rPr>
          <w:spacing w:val="40"/>
          <w:sz w:val="22"/>
        </w:rPr>
        <w:t> </w:t>
      </w:r>
      <w:r>
        <w:rPr>
          <w:sz w:val="22"/>
        </w:rPr>
        <w:t>a</w:t>
      </w:r>
      <w:r>
        <w:rPr>
          <w:spacing w:val="42"/>
          <w:sz w:val="22"/>
        </w:rPr>
        <w:t> </w:t>
      </w:r>
      <w:r>
        <w:rPr>
          <w:b/>
          <w:sz w:val="22"/>
          <w:u w:val="single"/>
        </w:rPr>
        <w:t>Regional</w:t>
      </w:r>
      <w:r>
        <w:rPr>
          <w:b/>
          <w:spacing w:val="36"/>
          <w:sz w:val="22"/>
          <w:u w:val="single"/>
        </w:rPr>
        <w:t> </w:t>
      </w:r>
      <w:r>
        <w:rPr>
          <w:b/>
          <w:sz w:val="22"/>
          <w:u w:val="single"/>
        </w:rPr>
        <w:t>Centre</w:t>
      </w:r>
      <w:r>
        <w:rPr>
          <w:b/>
          <w:sz w:val="22"/>
        </w:rPr>
        <w:t> </w:t>
      </w:r>
      <w:r>
        <w:rPr>
          <w:b/>
          <w:sz w:val="22"/>
          <w:u w:val="single"/>
        </w:rPr>
        <w:t>for Research and Training in Social Development,</w:t>
      </w:r>
      <w:r>
        <w:rPr>
          <w:b/>
          <w:sz w:val="22"/>
        </w:rPr>
        <w:t> </w:t>
      </w:r>
      <w:r>
        <w:rPr>
          <w:sz w:val="22"/>
        </w:rPr>
        <w:t>which would assist African governments in the area of human resources development;</w:t>
      </w:r>
    </w:p>
    <w:p>
      <w:pPr>
        <w:pStyle w:val="BodyText"/>
        <w:spacing w:before="4"/>
        <w:rPr>
          <w:sz w:val="34"/>
        </w:rPr>
      </w:pPr>
    </w:p>
    <w:p>
      <w:pPr>
        <w:pStyle w:val="ListParagraph"/>
        <w:numPr>
          <w:ilvl w:val="0"/>
          <w:numId w:val="1"/>
        </w:numPr>
        <w:tabs>
          <w:tab w:pos="1189" w:val="left" w:leader="none"/>
        </w:tabs>
        <w:spacing w:line="367" w:lineRule="auto" w:before="0" w:after="0"/>
        <w:ind w:left="1188" w:right="106" w:hanging="341"/>
        <w:jc w:val="both"/>
        <w:rPr>
          <w:sz w:val="22"/>
        </w:rPr>
      </w:pPr>
      <w:r>
        <w:rPr>
          <w:b/>
          <w:sz w:val="22"/>
        </w:rPr>
        <w:t>REQUESTS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closely</w:t>
      </w:r>
      <w:r>
        <w:rPr>
          <w:spacing w:val="40"/>
          <w:sz w:val="22"/>
        </w:rPr>
        <w:t> </w:t>
      </w:r>
      <w:r>
        <w:rPr>
          <w:sz w:val="22"/>
        </w:rPr>
        <w:t>associate</w:t>
      </w:r>
      <w:r>
        <w:rPr>
          <w:spacing w:val="40"/>
          <w:sz w:val="22"/>
        </w:rPr>
        <w:t> </w:t>
      </w:r>
      <w:r>
        <w:rPr>
          <w:sz w:val="22"/>
        </w:rPr>
        <w:t>the Secretariat with the organization of the conference, to fully participate in its work and deliberations and to submit a comprehensive report on the Conference to the 29</w:t>
      </w:r>
      <w:r>
        <w:rPr>
          <w:sz w:val="22"/>
          <w:vertAlign w:val="superscript"/>
        </w:rPr>
        <w:t>t</w:t>
      </w:r>
      <w:r>
        <w:rPr>
          <w:sz w:val="22"/>
          <w:vertAlign w:val="superscript"/>
        </w:rPr>
        <w:t>h</w:t>
      </w:r>
      <w:r>
        <w:rPr>
          <w:sz w:val="22"/>
          <w:vertAlign w:val="baseline"/>
        </w:rPr>
        <w:t> Ordinary Session of the Council of Ministers;</w:t>
      </w:r>
    </w:p>
    <w:p>
      <w:pPr>
        <w:pStyle w:val="BodyText"/>
        <w:spacing w:before="4"/>
        <w:rPr>
          <w:sz w:val="34"/>
        </w:rPr>
      </w:pPr>
    </w:p>
    <w:p>
      <w:pPr>
        <w:pStyle w:val="ListParagraph"/>
        <w:numPr>
          <w:ilvl w:val="0"/>
          <w:numId w:val="1"/>
        </w:numPr>
        <w:tabs>
          <w:tab w:pos="1189" w:val="left" w:leader="none"/>
        </w:tabs>
        <w:spacing w:line="364" w:lineRule="auto" w:before="1" w:after="0"/>
        <w:ind w:left="1188" w:right="114" w:hanging="341"/>
        <w:jc w:val="both"/>
        <w:rPr>
          <w:sz w:val="22"/>
        </w:rPr>
      </w:pPr>
      <w:r>
        <w:rPr>
          <w:b/>
          <w:sz w:val="22"/>
        </w:rPr>
        <w:t>REQUESTS </w:t>
      </w:r>
      <w:r>
        <w:rPr>
          <w:sz w:val="22"/>
        </w:rPr>
        <w:t>the Secretary-General to invite ASWEA and other concerned organizations to participate in the preparation of the this Conference.</w:t>
      </w:r>
    </w:p>
    <w:sectPr>
      <w:pgSz w:w="12240" w:h="15840"/>
      <w:pgMar w:header="700" w:footer="0" w:top="144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59360"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502</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51</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85"/>
      <w:ind w:left="3627" w:hanging="3159"/>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spacing w:before="1"/>
      <w:ind w:left="1188" w:right="105"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2023-06-07T08:50:10Z</dcterms:created>
  <dcterms:modified xsi:type="dcterms:W3CDTF">2023-06-07T08:50:10Z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