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6"/>
          <w:u w:val="single"/>
        </w:rPr>
        <w:t> </w:t>
      </w:r>
      <w:r>
        <w:rPr>
          <w:u w:val="single"/>
        </w:rPr>
        <w:t>ON</w:t>
      </w:r>
      <w:r>
        <w:rPr>
          <w:spacing w:val="6"/>
          <w:u w:val="single"/>
        </w:rPr>
        <w:t> </w:t>
      </w:r>
      <w:r>
        <w:rPr>
          <w:u w:val="single"/>
        </w:rPr>
        <w:t>THE</w:t>
      </w:r>
      <w:r>
        <w:rPr>
          <w:spacing w:val="6"/>
          <w:u w:val="single"/>
        </w:rPr>
        <w:t> </w:t>
      </w:r>
      <w:r>
        <w:rPr>
          <w:u w:val="single"/>
        </w:rPr>
        <w:t>UNION</w:t>
      </w:r>
      <w:r>
        <w:rPr>
          <w:spacing w:val="6"/>
          <w:u w:val="single"/>
        </w:rPr>
        <w:t> </w:t>
      </w:r>
      <w:r>
        <w:rPr>
          <w:u w:val="single"/>
        </w:rPr>
        <w:t>OF</w:t>
      </w:r>
      <w:r>
        <w:rPr>
          <w:spacing w:val="8"/>
          <w:u w:val="single"/>
        </w:rPr>
        <w:t> </w:t>
      </w:r>
      <w:r>
        <w:rPr>
          <w:u w:val="single"/>
        </w:rPr>
        <w:t>AFRICAN</w:t>
      </w:r>
      <w:r>
        <w:rPr>
          <w:spacing w:val="6"/>
          <w:u w:val="single"/>
        </w:rPr>
        <w:t> </w:t>
      </w:r>
      <w:r>
        <w:rPr>
          <w:spacing w:val="-2"/>
          <w:u w:val="single"/>
        </w:rPr>
        <w:t>RAILWAYS</w:t>
      </w:r>
    </w:p>
    <w:p>
      <w:pPr>
        <w:pStyle w:val="BodyText"/>
        <w:rPr>
          <w:b/>
          <w:sz w:val="20"/>
        </w:rPr>
      </w:pPr>
    </w:p>
    <w:p>
      <w:pPr>
        <w:pStyle w:val="BodyText"/>
        <w:spacing w:before="3"/>
        <w:rPr>
          <w:b/>
          <w:sz w:val="17"/>
        </w:rPr>
      </w:pPr>
    </w:p>
    <w:p>
      <w:pPr>
        <w:pStyle w:val="BodyText"/>
        <w:spacing w:line="369" w:lineRule="auto" w:before="96"/>
        <w:ind w:left="171" w:firstLine="676"/>
      </w:pPr>
      <w:r>
        <w:rPr/>
        <w:t>The</w:t>
      </w:r>
      <w:r>
        <w:rPr>
          <w:spacing w:val="35"/>
        </w:rPr>
        <w:t> </w:t>
      </w:r>
      <w:r>
        <w:rPr/>
        <w:t>Council</w:t>
      </w:r>
      <w:r>
        <w:rPr>
          <w:spacing w:val="35"/>
        </w:rPr>
        <w:t> </w:t>
      </w:r>
      <w:r>
        <w:rPr/>
        <w:t>of</w:t>
      </w:r>
      <w:r>
        <w:rPr>
          <w:spacing w:val="35"/>
        </w:rPr>
        <w:t> </w:t>
      </w:r>
      <w:r>
        <w:rPr/>
        <w:t>Ministers</w:t>
      </w:r>
      <w:r>
        <w:rPr>
          <w:spacing w:val="35"/>
        </w:rPr>
        <w:t> </w:t>
      </w:r>
      <w:r>
        <w:rPr/>
        <w:t>of</w:t>
      </w:r>
      <w:r>
        <w:rPr>
          <w:spacing w:val="35"/>
        </w:rPr>
        <w:t> </w:t>
      </w:r>
      <w:r>
        <w:rPr/>
        <w:t>the</w:t>
      </w:r>
      <w:r>
        <w:rPr>
          <w:spacing w:val="35"/>
        </w:rPr>
        <w:t> </w:t>
      </w:r>
      <w:r>
        <w:rPr/>
        <w:t>Organization</w:t>
      </w:r>
      <w:r>
        <w:rPr>
          <w:spacing w:val="35"/>
        </w:rPr>
        <w:t> </w:t>
      </w:r>
      <w:r>
        <w:rPr/>
        <w:t>of</w:t>
      </w:r>
      <w:r>
        <w:rPr>
          <w:spacing w:val="35"/>
        </w:rPr>
        <w:t> </w:t>
      </w:r>
      <w:r>
        <w:rPr/>
        <w:t>African</w:t>
      </w:r>
      <w:r>
        <w:rPr>
          <w:spacing w:val="35"/>
        </w:rPr>
        <w:t> </w:t>
      </w:r>
      <w:r>
        <w:rPr/>
        <w:t>Unity,</w:t>
      </w:r>
      <w:r>
        <w:rPr>
          <w:spacing w:val="35"/>
        </w:rPr>
        <w:t> </w:t>
      </w:r>
      <w:r>
        <w:rPr/>
        <w:t>meeting</w:t>
      </w:r>
      <w:r>
        <w:rPr>
          <w:spacing w:val="35"/>
        </w:rPr>
        <w:t> </w:t>
      </w:r>
      <w:r>
        <w:rPr/>
        <w:t>in</w:t>
      </w:r>
      <w:r>
        <w:rPr>
          <w:spacing w:val="35"/>
        </w:rPr>
        <w:t> </w:t>
      </w:r>
      <w:r>
        <w:rPr/>
        <w:t>its</w:t>
      </w:r>
      <w:r>
        <w:rPr>
          <w:spacing w:val="35"/>
        </w:rPr>
        <w:t> </w:t>
      </w:r>
      <w:r>
        <w:rPr/>
        <w:t>Twenty- Seventh Ordinary Session at Port Louis, Mauritius, from 24 June to 3</w:t>
      </w:r>
      <w:r>
        <w:rPr>
          <w:vertAlign w:val="superscript"/>
        </w:rPr>
        <w:t>rd</w:t>
      </w:r>
      <w:r>
        <w:rPr>
          <w:vertAlign w:val="baseline"/>
        </w:rPr>
        <w:t> July, 1976.</w:t>
      </w:r>
    </w:p>
    <w:p>
      <w:pPr>
        <w:pStyle w:val="BodyText"/>
        <w:spacing w:before="4"/>
        <w:rPr>
          <w:sz w:val="25"/>
        </w:rPr>
      </w:pPr>
    </w:p>
    <w:p>
      <w:pPr>
        <w:pStyle w:val="BodyText"/>
        <w:spacing w:before="101"/>
        <w:ind w:left="848"/>
      </w:pPr>
      <w:r>
        <w:rPr>
          <w:b/>
          <w:u w:val="single"/>
        </w:rPr>
        <w:t>Having</w:t>
      </w:r>
      <w:r>
        <w:rPr>
          <w:b/>
          <w:spacing w:val="12"/>
          <w:u w:val="single"/>
        </w:rPr>
        <w:t> </w:t>
      </w:r>
      <w:r>
        <w:rPr>
          <w:b/>
          <w:u w:val="single"/>
        </w:rPr>
        <w:t>examined</w:t>
      </w:r>
      <w:r>
        <w:rPr>
          <w:b/>
          <w:spacing w:val="16"/>
        </w:rPr>
        <w:t> </w:t>
      </w:r>
      <w:r>
        <w:rPr/>
        <w:t>the</w:t>
      </w:r>
      <w:r>
        <w:rPr>
          <w:spacing w:val="14"/>
        </w:rPr>
        <w:t> </w:t>
      </w:r>
      <w:r>
        <w:rPr/>
        <w:t>report</w:t>
      </w:r>
      <w:r>
        <w:rPr>
          <w:spacing w:val="15"/>
        </w:rPr>
        <w:t> </w:t>
      </w:r>
      <w:r>
        <w:rPr/>
        <w:t>of</w:t>
      </w:r>
      <w:r>
        <w:rPr>
          <w:spacing w:val="14"/>
        </w:rPr>
        <w:t> </w:t>
      </w:r>
      <w:r>
        <w:rPr/>
        <w:t>the</w:t>
      </w:r>
      <w:r>
        <w:rPr>
          <w:spacing w:val="15"/>
        </w:rPr>
        <w:t> </w:t>
      </w:r>
      <w:r>
        <w:rPr/>
        <w:t>Secretary-General,</w:t>
      </w:r>
      <w:r>
        <w:rPr>
          <w:spacing w:val="11"/>
        </w:rPr>
        <w:t> </w:t>
      </w:r>
      <w:r>
        <w:rPr/>
        <w:t>Document</w:t>
      </w:r>
      <w:r>
        <w:rPr>
          <w:spacing w:val="11"/>
        </w:rPr>
        <w:t> </w:t>
      </w:r>
      <w:r>
        <w:rPr/>
        <w:t>CM/733</w:t>
      </w:r>
      <w:r>
        <w:rPr>
          <w:spacing w:val="12"/>
        </w:rPr>
        <w:t> </w:t>
      </w:r>
      <w:r>
        <w:rPr/>
        <w:t>(XXVII)</w:t>
      </w:r>
      <w:r>
        <w:rPr>
          <w:spacing w:val="10"/>
        </w:rPr>
        <w:t> </w:t>
      </w:r>
      <w:r>
        <w:rPr>
          <w:spacing w:val="-4"/>
        </w:rPr>
        <w:t>Add.</w:t>
      </w:r>
    </w:p>
    <w:p>
      <w:pPr>
        <w:pStyle w:val="BodyText"/>
        <w:spacing w:before="131"/>
        <w:ind w:left="171"/>
      </w:pPr>
      <w:r>
        <w:rPr>
          <w:spacing w:val="-5"/>
        </w:rPr>
        <w:t>3;</w:t>
      </w:r>
    </w:p>
    <w:p>
      <w:pPr>
        <w:pStyle w:val="BodyText"/>
        <w:rPr>
          <w:sz w:val="20"/>
        </w:rPr>
      </w:pPr>
    </w:p>
    <w:p>
      <w:pPr>
        <w:pStyle w:val="BodyText"/>
        <w:spacing w:before="3"/>
        <w:rPr>
          <w:sz w:val="17"/>
        </w:rPr>
      </w:pPr>
    </w:p>
    <w:p>
      <w:pPr>
        <w:pStyle w:val="BodyText"/>
        <w:spacing w:line="369" w:lineRule="auto" w:before="96"/>
        <w:ind w:left="171" w:right="112" w:firstLine="676"/>
        <w:jc w:val="both"/>
      </w:pPr>
      <w:r>
        <w:rPr>
          <w:b/>
          <w:u w:val="single"/>
        </w:rPr>
        <w:t>Considering</w:t>
      </w:r>
      <w:r>
        <w:rPr>
          <w:b/>
        </w:rPr>
        <w:t> </w:t>
      </w:r>
      <w:r>
        <w:rPr/>
        <w:t>the African Declaration on the co-operation, development and economic independence adopted by the 10</w:t>
      </w:r>
      <w:r>
        <w:rPr>
          <w:vertAlign w:val="superscript"/>
        </w:rPr>
        <w:t>th</w:t>
      </w:r>
      <w:r>
        <w:rPr>
          <w:vertAlign w:val="baseline"/>
        </w:rPr>
        <w:t> Summit of Heads of State of the OAU in May 1973;</w:t>
      </w:r>
    </w:p>
    <w:p>
      <w:pPr>
        <w:pStyle w:val="BodyText"/>
        <w:spacing w:before="1"/>
        <w:rPr>
          <w:sz w:val="34"/>
        </w:rPr>
      </w:pPr>
    </w:p>
    <w:p>
      <w:pPr>
        <w:pStyle w:val="BodyText"/>
        <w:spacing w:line="364" w:lineRule="auto"/>
        <w:ind w:left="171" w:right="118" w:firstLine="676"/>
        <w:jc w:val="both"/>
      </w:pPr>
      <w:r>
        <w:rPr>
          <w:b/>
          <w:u w:val="single"/>
        </w:rPr>
        <w:t>Recalling</w:t>
      </w:r>
      <w:r>
        <w:rPr>
          <w:b/>
          <w:spacing w:val="26"/>
        </w:rPr>
        <w:t> </w:t>
      </w:r>
      <w:r>
        <w:rPr/>
        <w:t>the Resolution CM/Res. 165 (XI) on the intra-African co-operation in the field</w:t>
      </w:r>
      <w:r>
        <w:rPr>
          <w:spacing w:val="80"/>
        </w:rPr>
        <w:t> </w:t>
      </w:r>
      <w:r>
        <w:rPr/>
        <w:t>of road, rail and sea transport;</w:t>
      </w:r>
    </w:p>
    <w:p>
      <w:pPr>
        <w:pStyle w:val="BodyText"/>
        <w:spacing w:before="6"/>
        <w:rPr>
          <w:sz w:val="34"/>
        </w:rPr>
      </w:pPr>
    </w:p>
    <w:p>
      <w:pPr>
        <w:pStyle w:val="BodyText"/>
        <w:spacing w:line="369" w:lineRule="auto"/>
        <w:ind w:left="171" w:right="113" w:firstLine="676"/>
        <w:jc w:val="both"/>
      </w:pPr>
      <w:r>
        <w:rPr>
          <w:b/>
          <w:u w:val="single"/>
        </w:rPr>
        <w:t>Considering</w:t>
      </w:r>
      <w:r>
        <w:rPr>
          <w:b/>
          <w:spacing w:val="40"/>
        </w:rPr>
        <w:t> </w:t>
      </w:r>
      <w:r>
        <w:rPr/>
        <w:t>the</w:t>
      </w:r>
      <w:r>
        <w:rPr>
          <w:spacing w:val="40"/>
        </w:rPr>
        <w:t> </w:t>
      </w:r>
      <w:r>
        <w:rPr/>
        <w:t>great</w:t>
      </w:r>
      <w:r>
        <w:rPr>
          <w:spacing w:val="40"/>
        </w:rPr>
        <w:t> </w:t>
      </w:r>
      <w:r>
        <w:rPr/>
        <w:t>importance</w:t>
      </w:r>
      <w:r>
        <w:rPr>
          <w:spacing w:val="40"/>
        </w:rPr>
        <w:t> </w:t>
      </w:r>
      <w:r>
        <w:rPr/>
        <w:t>of</w:t>
      </w:r>
      <w:r>
        <w:rPr>
          <w:spacing w:val="40"/>
        </w:rPr>
        <w:t> </w:t>
      </w:r>
      <w:r>
        <w:rPr/>
        <w:t>railway</w:t>
      </w:r>
      <w:r>
        <w:rPr>
          <w:spacing w:val="40"/>
        </w:rPr>
        <w:t> </w:t>
      </w:r>
      <w:r>
        <w:rPr/>
        <w:t>transport</w:t>
      </w:r>
      <w:r>
        <w:rPr>
          <w:spacing w:val="40"/>
        </w:rPr>
        <w:t> </w:t>
      </w:r>
      <w:r>
        <w:rPr/>
        <w:t>in</w:t>
      </w:r>
      <w:r>
        <w:rPr>
          <w:spacing w:val="40"/>
        </w:rPr>
        <w:t> </w:t>
      </w:r>
      <w:r>
        <w:rPr/>
        <w:t>the</w:t>
      </w:r>
      <w:r>
        <w:rPr>
          <w:spacing w:val="40"/>
        </w:rPr>
        <w:t> </w:t>
      </w:r>
      <w:r>
        <w:rPr/>
        <w:t>African</w:t>
      </w:r>
      <w:r>
        <w:rPr>
          <w:spacing w:val="40"/>
        </w:rPr>
        <w:t> </w:t>
      </w:r>
      <w:r>
        <w:rPr/>
        <w:t>economic</w:t>
      </w:r>
      <w:r>
        <w:rPr>
          <w:spacing w:val="40"/>
        </w:rPr>
        <w:t> </w:t>
      </w:r>
      <w:r>
        <w:rPr/>
        <w:t>and social development;</w:t>
      </w:r>
    </w:p>
    <w:p>
      <w:pPr>
        <w:pStyle w:val="BodyText"/>
        <w:spacing w:before="3"/>
        <w:rPr>
          <w:sz w:val="33"/>
        </w:rPr>
      </w:pPr>
    </w:p>
    <w:p>
      <w:pPr>
        <w:pStyle w:val="BodyText"/>
        <w:spacing w:line="372" w:lineRule="auto"/>
        <w:ind w:left="171" w:right="111" w:firstLine="676"/>
        <w:jc w:val="both"/>
      </w:pPr>
      <w:r>
        <w:rPr>
          <w:b/>
          <w:u w:val="single"/>
        </w:rPr>
        <w:t>Considering</w:t>
      </w:r>
      <w:r>
        <w:rPr>
          <w:b/>
        </w:rPr>
        <w:t> </w:t>
      </w:r>
      <w:r>
        <w:rPr/>
        <w:t>particularly the essential role that the railways are expected to play in</w:t>
      </w:r>
      <w:r>
        <w:rPr>
          <w:spacing w:val="40"/>
        </w:rPr>
        <w:t> </w:t>
      </w:r>
      <w:r>
        <w:rPr/>
        <w:t>reducing</w:t>
      </w:r>
      <w:r>
        <w:rPr>
          <w:spacing w:val="40"/>
        </w:rPr>
        <w:t> </w:t>
      </w:r>
      <w:r>
        <w:rPr/>
        <w:t>the</w:t>
      </w:r>
      <w:r>
        <w:rPr>
          <w:spacing w:val="40"/>
        </w:rPr>
        <w:t> </w:t>
      </w:r>
      <w:r>
        <w:rPr/>
        <w:t>enclavement</w:t>
      </w:r>
      <w:r>
        <w:rPr>
          <w:spacing w:val="40"/>
        </w:rPr>
        <w:t> </w:t>
      </w:r>
      <w:r>
        <w:rPr/>
        <w:t>of</w:t>
      </w:r>
      <w:r>
        <w:rPr>
          <w:spacing w:val="40"/>
        </w:rPr>
        <w:t> </w:t>
      </w:r>
      <w:r>
        <w:rPr/>
        <w:t>the</w:t>
      </w:r>
      <w:r>
        <w:rPr>
          <w:spacing w:val="40"/>
        </w:rPr>
        <w:t> </w:t>
      </w:r>
      <w:r>
        <w:rPr/>
        <w:t>landlocked</w:t>
      </w:r>
      <w:r>
        <w:rPr>
          <w:spacing w:val="40"/>
        </w:rPr>
        <w:t> </w:t>
      </w:r>
      <w:r>
        <w:rPr/>
        <w:t>countries</w:t>
      </w:r>
      <w:r>
        <w:rPr>
          <w:spacing w:val="40"/>
        </w:rPr>
        <w:t> </w:t>
      </w:r>
      <w:r>
        <w:rPr/>
        <w:t>and</w:t>
      </w:r>
      <w:r>
        <w:rPr>
          <w:spacing w:val="40"/>
        </w:rPr>
        <w:t> </w:t>
      </w:r>
      <w:r>
        <w:rPr/>
        <w:t>in</w:t>
      </w:r>
      <w:r>
        <w:rPr>
          <w:spacing w:val="40"/>
        </w:rPr>
        <w:t> </w:t>
      </w:r>
      <w:r>
        <w:rPr/>
        <w:t>developing</w:t>
      </w:r>
      <w:r>
        <w:rPr>
          <w:spacing w:val="40"/>
        </w:rPr>
        <w:t> </w:t>
      </w:r>
      <w:r>
        <w:rPr/>
        <w:t>the</w:t>
      </w:r>
      <w:r>
        <w:rPr>
          <w:spacing w:val="40"/>
        </w:rPr>
        <w:t> </w:t>
      </w:r>
      <w:r>
        <w:rPr/>
        <w:t>commercial exchanges between African States;</w:t>
      </w:r>
    </w:p>
    <w:p>
      <w:pPr>
        <w:pStyle w:val="BodyText"/>
        <w:spacing w:before="4"/>
        <w:rPr>
          <w:sz w:val="33"/>
        </w:rPr>
      </w:pPr>
    </w:p>
    <w:p>
      <w:pPr>
        <w:pStyle w:val="BodyText"/>
        <w:spacing w:line="369" w:lineRule="auto" w:before="1"/>
        <w:ind w:left="171" w:right="113" w:firstLine="676"/>
        <w:jc w:val="both"/>
      </w:pPr>
      <w:r>
        <w:rPr>
          <w:b/>
          <w:u w:val="single"/>
        </w:rPr>
        <w:t>Considering</w:t>
      </w:r>
      <w:r>
        <w:rPr>
          <w:b/>
        </w:rPr>
        <w:t> </w:t>
      </w:r>
      <w:r>
        <w:rPr/>
        <w:t>that the main objective of the Union is to seek the improvement of railway services with the view to linking the African railway networks to each other in the process of the economic integration between African States;</w:t>
      </w:r>
    </w:p>
    <w:p>
      <w:pPr>
        <w:pStyle w:val="BodyText"/>
        <w:spacing w:before="6"/>
        <w:rPr>
          <w:sz w:val="33"/>
        </w:rPr>
      </w:pPr>
    </w:p>
    <w:p>
      <w:pPr>
        <w:pStyle w:val="BodyText"/>
        <w:spacing w:line="372" w:lineRule="auto" w:before="1"/>
        <w:ind w:left="171" w:right="128" w:firstLine="676"/>
        <w:jc w:val="both"/>
      </w:pPr>
      <w:r>
        <w:rPr>
          <w:b/>
          <w:u w:val="single"/>
        </w:rPr>
        <w:t>Noting</w:t>
      </w:r>
      <w:r>
        <w:rPr>
          <w:b/>
        </w:rPr>
        <w:t> </w:t>
      </w:r>
      <w:r>
        <w:rPr/>
        <w:t>the creation of the Union of African railways due to the OAU and E.C.A. efforts</w:t>
      </w:r>
      <w:r>
        <w:rPr>
          <w:spacing w:val="40"/>
        </w:rPr>
        <w:t> </w:t>
      </w:r>
      <w:r>
        <w:rPr/>
        <w:t>and the fixation of the headquarters of this continental organization applicable to the majority of</w:t>
      </w:r>
      <w:r>
        <w:rPr>
          <w:spacing w:val="40"/>
        </w:rPr>
        <w:t> </w:t>
      </w:r>
      <w:r>
        <w:rPr/>
        <w:t>the African railway Administrations at Kinshasa (Republic of Zaire);</w:t>
      </w:r>
    </w:p>
    <w:p>
      <w:pPr>
        <w:pStyle w:val="BodyText"/>
        <w:spacing w:before="10"/>
        <w:rPr>
          <w:sz w:val="32"/>
        </w:rPr>
      </w:pPr>
    </w:p>
    <w:p>
      <w:pPr>
        <w:pStyle w:val="BodyText"/>
        <w:spacing w:line="372" w:lineRule="auto"/>
        <w:ind w:left="171" w:right="114" w:firstLine="676"/>
        <w:jc w:val="both"/>
      </w:pPr>
      <w:r>
        <w:rPr>
          <w:b/>
          <w:u w:val="single"/>
        </w:rPr>
        <w:t>Considering</w:t>
      </w:r>
      <w:r>
        <w:rPr>
          <w:b/>
          <w:spacing w:val="40"/>
        </w:rPr>
        <w:t> </w:t>
      </w:r>
      <w:r>
        <w:rPr/>
        <w:t>the</w:t>
      </w:r>
      <w:r>
        <w:rPr>
          <w:spacing w:val="37"/>
        </w:rPr>
        <w:t> </w:t>
      </w:r>
      <w:r>
        <w:rPr/>
        <w:t>Resolution</w:t>
      </w:r>
      <w:r>
        <w:rPr>
          <w:spacing w:val="38"/>
        </w:rPr>
        <w:t> </w:t>
      </w:r>
      <w:r>
        <w:rPr/>
        <w:t>adopted</w:t>
      </w:r>
      <w:r>
        <w:rPr>
          <w:spacing w:val="38"/>
        </w:rPr>
        <w:t> </w:t>
      </w:r>
      <w:r>
        <w:rPr/>
        <w:t>by</w:t>
      </w:r>
      <w:r>
        <w:rPr>
          <w:spacing w:val="37"/>
        </w:rPr>
        <w:t> </w:t>
      </w:r>
      <w:r>
        <w:rPr/>
        <w:t>the</w:t>
      </w:r>
      <w:r>
        <w:rPr>
          <w:spacing w:val="37"/>
        </w:rPr>
        <w:t> </w:t>
      </w:r>
      <w:r>
        <w:rPr/>
        <w:t>member</w:t>
      </w:r>
      <w:r>
        <w:rPr>
          <w:spacing w:val="37"/>
        </w:rPr>
        <w:t> </w:t>
      </w:r>
      <w:r>
        <w:rPr/>
        <w:t>of</w:t>
      </w:r>
      <w:r>
        <w:rPr>
          <w:spacing w:val="37"/>
        </w:rPr>
        <w:t> </w:t>
      </w:r>
      <w:r>
        <w:rPr/>
        <w:t>the</w:t>
      </w:r>
      <w:r>
        <w:rPr>
          <w:spacing w:val="37"/>
        </w:rPr>
        <w:t> </w:t>
      </w:r>
      <w:r>
        <w:rPr/>
        <w:t>Union</w:t>
      </w:r>
      <w:r>
        <w:rPr>
          <w:spacing w:val="38"/>
        </w:rPr>
        <w:t> </w:t>
      </w:r>
      <w:r>
        <w:rPr/>
        <w:t>of</w:t>
      </w:r>
      <w:r>
        <w:rPr>
          <w:spacing w:val="37"/>
        </w:rPr>
        <w:t> </w:t>
      </w:r>
      <w:r>
        <w:rPr/>
        <w:t>African</w:t>
      </w:r>
      <w:r>
        <w:rPr>
          <w:spacing w:val="38"/>
        </w:rPr>
        <w:t> </w:t>
      </w:r>
      <w:r>
        <w:rPr/>
        <w:t>Railways who requested, while meeting in their third General Assembly from 20 to 25 October 1975, the OAU to grant the U.A.R. the status of specialized Agency.</w:t>
      </w:r>
    </w:p>
    <w:p>
      <w:pPr>
        <w:spacing w:after="0" w:line="372" w:lineRule="auto"/>
        <w:jc w:val="both"/>
        <w:sectPr>
          <w:headerReference w:type="default" r:id="rId5"/>
          <w:type w:val="continuous"/>
          <w:pgSz w:w="12240" w:h="15840"/>
          <w:pgMar w:header="700" w:footer="0" w:top="1820" w:bottom="280" w:left="1720" w:right="1440"/>
          <w:pgNumType w:start="57"/>
        </w:sectPr>
      </w:pPr>
    </w:p>
    <w:p>
      <w:pPr>
        <w:pStyle w:val="ListParagraph"/>
        <w:numPr>
          <w:ilvl w:val="0"/>
          <w:numId w:val="1"/>
        </w:numPr>
        <w:tabs>
          <w:tab w:pos="1189" w:val="left" w:leader="none"/>
        </w:tabs>
        <w:spacing w:line="372" w:lineRule="auto" w:before="85" w:after="0"/>
        <w:ind w:left="1188" w:right="110" w:hanging="341"/>
        <w:jc w:val="both"/>
        <w:rPr>
          <w:sz w:val="22"/>
        </w:rPr>
      </w:pPr>
      <w:r>
        <w:rPr>
          <w:b/>
          <w:sz w:val="22"/>
        </w:rPr>
        <w:t>CONGRATULATES </w:t>
      </w:r>
      <w:r>
        <w:rPr>
          <w:sz w:val="22"/>
        </w:rPr>
        <w:t>the Administrative Secretary General of the OAU and the Executive Secretary of the U.N.E.C.A. for all the efforts displayed with the view to creating this Union;</w:t>
      </w:r>
    </w:p>
    <w:p>
      <w:pPr>
        <w:pStyle w:val="BodyText"/>
        <w:spacing w:before="4"/>
        <w:rPr>
          <w:sz w:val="33"/>
        </w:rPr>
      </w:pPr>
    </w:p>
    <w:p>
      <w:pPr>
        <w:pStyle w:val="ListParagraph"/>
        <w:numPr>
          <w:ilvl w:val="0"/>
          <w:numId w:val="1"/>
        </w:numPr>
        <w:tabs>
          <w:tab w:pos="1189" w:val="left" w:leader="none"/>
        </w:tabs>
        <w:spacing w:line="240" w:lineRule="auto" w:before="1" w:after="0"/>
        <w:ind w:left="1188" w:right="0" w:hanging="341"/>
        <w:jc w:val="left"/>
        <w:rPr>
          <w:sz w:val="22"/>
        </w:rPr>
      </w:pPr>
      <w:r>
        <w:rPr>
          <w:b/>
          <w:sz w:val="22"/>
        </w:rPr>
        <w:t>DECIDES</w:t>
      </w:r>
      <w:r>
        <w:rPr>
          <w:b/>
          <w:spacing w:val="18"/>
          <w:sz w:val="22"/>
        </w:rPr>
        <w:t> </w:t>
      </w:r>
      <w:r>
        <w:rPr>
          <w:sz w:val="22"/>
        </w:rPr>
        <w:t>to</w:t>
      </w:r>
      <w:r>
        <w:rPr>
          <w:spacing w:val="8"/>
          <w:sz w:val="22"/>
        </w:rPr>
        <w:t> </w:t>
      </w:r>
      <w:r>
        <w:rPr>
          <w:sz w:val="22"/>
        </w:rPr>
        <w:t>grant</w:t>
      </w:r>
      <w:r>
        <w:rPr>
          <w:spacing w:val="9"/>
          <w:sz w:val="22"/>
        </w:rPr>
        <w:t> </w:t>
      </w:r>
      <w:r>
        <w:rPr>
          <w:sz w:val="22"/>
        </w:rPr>
        <w:t>the</w:t>
      </w:r>
      <w:r>
        <w:rPr>
          <w:spacing w:val="8"/>
          <w:sz w:val="22"/>
        </w:rPr>
        <w:t> </w:t>
      </w:r>
      <w:r>
        <w:rPr>
          <w:sz w:val="22"/>
        </w:rPr>
        <w:t>U.A.R.</w:t>
      </w:r>
      <w:r>
        <w:rPr>
          <w:spacing w:val="9"/>
          <w:sz w:val="22"/>
        </w:rPr>
        <w:t> </w:t>
      </w:r>
      <w:r>
        <w:rPr>
          <w:sz w:val="22"/>
        </w:rPr>
        <w:t>the</w:t>
      </w:r>
      <w:r>
        <w:rPr>
          <w:spacing w:val="8"/>
          <w:sz w:val="22"/>
        </w:rPr>
        <w:t> </w:t>
      </w:r>
      <w:r>
        <w:rPr>
          <w:sz w:val="22"/>
        </w:rPr>
        <w:t>Status</w:t>
      </w:r>
      <w:r>
        <w:rPr>
          <w:spacing w:val="9"/>
          <w:sz w:val="22"/>
        </w:rPr>
        <w:t> </w:t>
      </w:r>
      <w:r>
        <w:rPr>
          <w:sz w:val="22"/>
        </w:rPr>
        <w:t>of</w:t>
      </w:r>
      <w:r>
        <w:rPr>
          <w:spacing w:val="8"/>
          <w:sz w:val="22"/>
        </w:rPr>
        <w:t> </w:t>
      </w:r>
      <w:r>
        <w:rPr>
          <w:sz w:val="22"/>
        </w:rPr>
        <w:t>Specialized</w:t>
      </w:r>
      <w:r>
        <w:rPr>
          <w:spacing w:val="9"/>
          <w:sz w:val="22"/>
        </w:rPr>
        <w:t> </w:t>
      </w:r>
      <w:r>
        <w:rPr>
          <w:spacing w:val="-2"/>
          <w:sz w:val="22"/>
        </w:rPr>
        <w:t>Agency;</w:t>
      </w:r>
    </w:p>
    <w:p>
      <w:pPr>
        <w:pStyle w:val="BodyText"/>
        <w:rPr>
          <w:sz w:val="24"/>
        </w:rPr>
      </w:pPr>
    </w:p>
    <w:p>
      <w:pPr>
        <w:pStyle w:val="BodyText"/>
        <w:spacing w:before="7"/>
        <w:rPr>
          <w:sz w:val="21"/>
        </w:rPr>
      </w:pPr>
    </w:p>
    <w:p>
      <w:pPr>
        <w:pStyle w:val="ListParagraph"/>
        <w:numPr>
          <w:ilvl w:val="0"/>
          <w:numId w:val="1"/>
        </w:numPr>
        <w:tabs>
          <w:tab w:pos="1189" w:val="left" w:leader="none"/>
        </w:tabs>
        <w:spacing w:line="369" w:lineRule="auto" w:before="0" w:after="0"/>
        <w:ind w:left="1188" w:right="111" w:hanging="341"/>
        <w:jc w:val="both"/>
        <w:rPr>
          <w:sz w:val="22"/>
        </w:rPr>
      </w:pPr>
      <w:r>
        <w:rPr>
          <w:b/>
          <w:sz w:val="22"/>
        </w:rPr>
        <w:t>ENTRUSTS</w:t>
      </w:r>
      <w:r>
        <w:rPr>
          <w:b/>
          <w:spacing w:val="40"/>
          <w:sz w:val="22"/>
        </w:rPr>
        <w:t> </w:t>
      </w:r>
      <w:r>
        <w:rPr>
          <w:sz w:val="22"/>
        </w:rPr>
        <w:t>the Administrative Secretary General of O.A.U. to take up the matter</w:t>
      </w:r>
      <w:r>
        <w:rPr>
          <w:spacing w:val="80"/>
          <w:sz w:val="22"/>
        </w:rPr>
        <w:t> </w:t>
      </w:r>
      <w:r>
        <w:rPr>
          <w:sz w:val="22"/>
        </w:rPr>
        <w:t>with the view to signing an Agreement between the O.A.U. and the U.A.R.</w:t>
      </w:r>
    </w:p>
    <w:sectPr>
      <w:pgSz w:w="12240" w:h="15840"/>
      <w:pgMar w:header="700" w:footer="0" w:top="18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60896"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507</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57</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592" w:right="1569"/>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2023-06-07T08:50:23Z</dcterms:created>
  <dcterms:modified xsi:type="dcterms:W3CDTF">2023-06-07T08:50:23Z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