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6"/>
          <w:u w:val="single"/>
        </w:rPr>
        <w:t> </w:t>
      </w:r>
      <w:r>
        <w:rPr>
          <w:u w:val="single"/>
        </w:rPr>
        <w:t>ON</w:t>
      </w:r>
      <w:r>
        <w:rPr>
          <w:spacing w:val="-5"/>
          <w:u w:val="single"/>
        </w:rPr>
        <w:t> </w:t>
      </w:r>
      <w:r>
        <w:rPr>
          <w:u w:val="single"/>
        </w:rPr>
        <w:t>SPORTING</w:t>
      </w:r>
      <w:r>
        <w:rPr>
          <w:spacing w:val="-5"/>
          <w:u w:val="single"/>
        </w:rPr>
        <w:t> </w:t>
      </w:r>
      <w:r>
        <w:rPr>
          <w:u w:val="single"/>
        </w:rPr>
        <w:t>LINKS</w:t>
      </w:r>
      <w:r>
        <w:rPr>
          <w:spacing w:val="-5"/>
          <w:u w:val="single"/>
        </w:rPr>
        <w:t> </w:t>
      </w:r>
      <w:r>
        <w:rPr>
          <w:u w:val="single"/>
        </w:rPr>
        <w:t>WITH</w:t>
      </w:r>
      <w:r>
        <w:rPr>
          <w:spacing w:val="-5"/>
          <w:u w:val="single"/>
        </w:rPr>
        <w:t> </w:t>
      </w:r>
      <w:r>
        <w:rPr>
          <w:u w:val="single"/>
        </w:rPr>
        <w:t>SOUTH</w:t>
      </w:r>
      <w:r>
        <w:rPr>
          <w:spacing w:val="-5"/>
          <w:u w:val="single"/>
        </w:rPr>
        <w:t> </w:t>
      </w:r>
      <w:r>
        <w:rPr>
          <w:spacing w:val="-2"/>
          <w:u w:val="single"/>
        </w:rPr>
        <w:t>AFRICA</w:t>
      </w:r>
    </w:p>
    <w:p>
      <w:pPr>
        <w:pStyle w:val="BodyText"/>
        <w:rPr>
          <w:b/>
          <w:sz w:val="20"/>
        </w:rPr>
      </w:pPr>
    </w:p>
    <w:p>
      <w:pPr>
        <w:pStyle w:val="BodyText"/>
        <w:spacing w:before="6"/>
        <w:rPr>
          <w:b/>
          <w:sz w:val="19"/>
        </w:rPr>
      </w:pPr>
    </w:p>
    <w:p>
      <w:pPr>
        <w:pStyle w:val="BodyText"/>
        <w:spacing w:line="360" w:lineRule="auto" w:before="90"/>
        <w:ind w:left="104" w:right="114" w:firstLine="720"/>
        <w:jc w:val="both"/>
      </w:pPr>
      <w:r>
        <w:rPr/>
        <w:t>The Council of Ministers of the Organization of Africa Unity, meeting in its Twent</w:t>
      </w:r>
      <w:r>
        <w:rPr>
          <w:spacing w:val="-15"/>
        </w:rPr>
        <w:t> </w:t>
      </w:r>
      <w:r>
        <w:rPr/>
        <w:t>y- Eight Ordinary Session in Lome, Togo, from 21 to 28 February 1977.</w:t>
      </w:r>
    </w:p>
    <w:p>
      <w:pPr>
        <w:pStyle w:val="BodyText"/>
        <w:spacing w:before="1"/>
        <w:rPr>
          <w:sz w:val="36"/>
        </w:rPr>
      </w:pPr>
    </w:p>
    <w:p>
      <w:pPr>
        <w:pStyle w:val="BodyText"/>
        <w:ind w:left="824"/>
      </w:pPr>
      <w:r>
        <w:rPr>
          <w:b/>
          <w:u w:val="single"/>
        </w:rPr>
        <w:t>Recalling</w:t>
      </w:r>
      <w:r>
        <w:rPr>
          <w:b/>
          <w:spacing w:val="-8"/>
        </w:rPr>
        <w:t> </w:t>
      </w:r>
      <w:r>
        <w:rPr/>
        <w:t>Resolution</w:t>
      </w:r>
      <w:r>
        <w:rPr>
          <w:spacing w:val="-8"/>
        </w:rPr>
        <w:t> </w:t>
      </w:r>
      <w:r>
        <w:rPr/>
        <w:t>CM/Res.</w:t>
      </w:r>
      <w:r>
        <w:rPr>
          <w:spacing w:val="-6"/>
        </w:rPr>
        <w:t> </w:t>
      </w:r>
      <w:r>
        <w:rPr/>
        <w:t>488</w:t>
      </w:r>
      <w:r>
        <w:rPr>
          <w:spacing w:val="-8"/>
        </w:rPr>
        <w:t> </w:t>
      </w:r>
      <w:r>
        <w:rPr/>
        <w:t>(XXVII)</w:t>
      </w:r>
      <w:r>
        <w:rPr>
          <w:spacing w:val="-8"/>
        </w:rPr>
        <w:t> </w:t>
      </w:r>
      <w:r>
        <w:rPr/>
        <w:t>of</w:t>
      </w:r>
      <w:r>
        <w:rPr>
          <w:spacing w:val="-8"/>
        </w:rPr>
        <w:t> </w:t>
      </w:r>
      <w:r>
        <w:rPr/>
        <w:t>1976</w:t>
      </w:r>
      <w:r>
        <w:rPr>
          <w:spacing w:val="-8"/>
        </w:rPr>
        <w:t> </w:t>
      </w:r>
      <w:r>
        <w:rPr/>
        <w:t>on</w:t>
      </w:r>
      <w:r>
        <w:rPr>
          <w:spacing w:val="-8"/>
        </w:rPr>
        <w:t> </w:t>
      </w:r>
      <w:r>
        <w:rPr/>
        <w:t>sporting</w:t>
      </w:r>
      <w:r>
        <w:rPr>
          <w:spacing w:val="-8"/>
        </w:rPr>
        <w:t> </w:t>
      </w:r>
      <w:r>
        <w:rPr/>
        <w:t>links</w:t>
      </w:r>
      <w:r>
        <w:rPr>
          <w:spacing w:val="-8"/>
        </w:rPr>
        <w:t> </w:t>
      </w:r>
      <w:r>
        <w:rPr/>
        <w:t>with</w:t>
      </w:r>
      <w:r>
        <w:rPr>
          <w:spacing w:val="-8"/>
        </w:rPr>
        <w:t> </w:t>
      </w:r>
      <w:r>
        <w:rPr/>
        <w:t>South</w:t>
      </w:r>
      <w:r>
        <w:rPr>
          <w:spacing w:val="-8"/>
        </w:rPr>
        <w:t> </w:t>
      </w:r>
      <w:r>
        <w:rPr>
          <w:spacing w:val="-2"/>
        </w:rPr>
        <w:t>Africa.</w:t>
      </w:r>
    </w:p>
    <w:p>
      <w:pPr>
        <w:pStyle w:val="BodyText"/>
        <w:rPr>
          <w:sz w:val="26"/>
        </w:rPr>
      </w:pPr>
    </w:p>
    <w:p>
      <w:pPr>
        <w:pStyle w:val="BodyText"/>
        <w:spacing w:before="9"/>
        <w:rPr>
          <w:sz w:val="21"/>
        </w:rPr>
      </w:pPr>
    </w:p>
    <w:p>
      <w:pPr>
        <w:pStyle w:val="BodyText"/>
        <w:spacing w:line="360" w:lineRule="auto"/>
        <w:ind w:left="104" w:right="137" w:firstLine="720"/>
        <w:jc w:val="both"/>
      </w:pPr>
      <w:r>
        <w:rPr>
          <w:b/>
          <w:u w:val="single"/>
        </w:rPr>
        <w:t>Noting</w:t>
      </w:r>
      <w:r>
        <w:rPr>
          <w:b/>
          <w:spacing w:val="-3"/>
        </w:rPr>
        <w:t> </w:t>
      </w:r>
      <w:r>
        <w:rPr/>
        <w:t>the</w:t>
      </w:r>
      <w:r>
        <w:rPr>
          <w:spacing w:val="-5"/>
        </w:rPr>
        <w:t> </w:t>
      </w:r>
      <w:r>
        <w:rPr/>
        <w:t>impressive</w:t>
      </w:r>
      <w:r>
        <w:rPr>
          <w:spacing w:val="-5"/>
        </w:rPr>
        <w:t> </w:t>
      </w:r>
      <w:r>
        <w:rPr/>
        <w:t>impact</w:t>
      </w:r>
      <w:r>
        <w:rPr>
          <w:spacing w:val="-2"/>
        </w:rPr>
        <w:t> </w:t>
      </w:r>
      <w:r>
        <w:rPr/>
        <w:t>of</w:t>
      </w:r>
      <w:r>
        <w:rPr>
          <w:spacing w:val="-4"/>
        </w:rPr>
        <w:t> </w:t>
      </w:r>
      <w:r>
        <w:rPr/>
        <w:t>the</w:t>
      </w:r>
      <w:r>
        <w:rPr>
          <w:spacing w:val="-5"/>
        </w:rPr>
        <w:t> </w:t>
      </w:r>
      <w:r>
        <w:rPr/>
        <w:t>concerted</w:t>
      </w:r>
      <w:r>
        <w:rPr>
          <w:spacing w:val="-5"/>
        </w:rPr>
        <w:t> </w:t>
      </w:r>
      <w:r>
        <w:rPr/>
        <w:t>action</w:t>
      </w:r>
      <w:r>
        <w:rPr>
          <w:spacing w:val="-4"/>
        </w:rPr>
        <w:t> </w:t>
      </w:r>
      <w:r>
        <w:rPr/>
        <w:t>of</w:t>
      </w:r>
      <w:r>
        <w:rPr>
          <w:spacing w:val="-4"/>
        </w:rPr>
        <w:t> </w:t>
      </w:r>
      <w:r>
        <w:rPr/>
        <w:t>the</w:t>
      </w:r>
      <w:r>
        <w:rPr>
          <w:spacing w:val="-5"/>
        </w:rPr>
        <w:t> </w:t>
      </w:r>
      <w:r>
        <w:rPr/>
        <w:t>OAU</w:t>
      </w:r>
      <w:r>
        <w:rPr>
          <w:spacing w:val="-5"/>
        </w:rPr>
        <w:t> </w:t>
      </w:r>
      <w:r>
        <w:rPr/>
        <w:t>General</w:t>
      </w:r>
      <w:r>
        <w:rPr>
          <w:spacing w:val="-4"/>
        </w:rPr>
        <w:t> </w:t>
      </w:r>
      <w:r>
        <w:rPr/>
        <w:t>Secretariat,</w:t>
      </w:r>
      <w:r>
        <w:rPr>
          <w:spacing w:val="-2"/>
        </w:rPr>
        <w:t> </w:t>
      </w:r>
      <w:r>
        <w:rPr/>
        <w:t>the Supreme Council of sports in Africa, African States and their friendly allies, in boycotting the 1976 Montreal Olympic Games as a sign of disapproval of the participation of New Zealand Country which collaborates with South Africa in the filed of Sports,</w:t>
      </w:r>
    </w:p>
    <w:p>
      <w:pPr>
        <w:pStyle w:val="BodyText"/>
        <w:spacing w:before="4"/>
        <w:rPr>
          <w:sz w:val="36"/>
        </w:rPr>
      </w:pPr>
    </w:p>
    <w:p>
      <w:pPr>
        <w:pStyle w:val="BodyText"/>
        <w:spacing w:line="360" w:lineRule="auto"/>
        <w:ind w:left="104" w:right="147" w:firstLine="720"/>
        <w:jc w:val="both"/>
      </w:pPr>
      <w:r>
        <w:rPr>
          <w:b/>
          <w:u w:val="single"/>
        </w:rPr>
        <w:t>Considering</w:t>
      </w:r>
      <w:r>
        <w:rPr>
          <w:b/>
        </w:rPr>
        <w:t> </w:t>
      </w:r>
      <w:r>
        <w:rPr/>
        <w:t>that the New Zealand authorities have not taken effective measures to cut sporting links between New Zealand and apartheid South Africa,</w:t>
      </w:r>
    </w:p>
    <w:p>
      <w:pPr>
        <w:pStyle w:val="BodyText"/>
        <w:spacing w:before="8"/>
        <w:rPr>
          <w:sz w:val="35"/>
        </w:rPr>
      </w:pPr>
    </w:p>
    <w:p>
      <w:pPr>
        <w:pStyle w:val="BodyText"/>
        <w:spacing w:line="360" w:lineRule="auto"/>
        <w:ind w:left="104" w:right="144" w:firstLine="720"/>
        <w:jc w:val="both"/>
      </w:pPr>
      <w:r>
        <w:rPr>
          <w:b/>
          <w:u w:val="single"/>
        </w:rPr>
        <w:t>Conscious</w:t>
      </w:r>
      <w:r>
        <w:rPr>
          <w:b/>
          <w:spacing w:val="-3"/>
        </w:rPr>
        <w:t> </w:t>
      </w:r>
      <w:r>
        <w:rPr/>
        <w:t>of</w:t>
      </w:r>
      <w:r>
        <w:rPr>
          <w:spacing w:val="-3"/>
        </w:rPr>
        <w:t> </w:t>
      </w:r>
      <w:r>
        <w:rPr/>
        <w:t>the</w:t>
      </w:r>
      <w:r>
        <w:rPr>
          <w:spacing w:val="-4"/>
        </w:rPr>
        <w:t> </w:t>
      </w:r>
      <w:r>
        <w:rPr/>
        <w:t>concerted</w:t>
      </w:r>
      <w:r>
        <w:rPr>
          <w:spacing w:val="-4"/>
        </w:rPr>
        <w:t> </w:t>
      </w:r>
      <w:r>
        <w:rPr/>
        <w:t>action</w:t>
      </w:r>
      <w:r>
        <w:rPr>
          <w:spacing w:val="-4"/>
        </w:rPr>
        <w:t> </w:t>
      </w:r>
      <w:r>
        <w:rPr/>
        <w:t>of</w:t>
      </w:r>
      <w:r>
        <w:rPr>
          <w:spacing w:val="-4"/>
        </w:rPr>
        <w:t> </w:t>
      </w:r>
      <w:r>
        <w:rPr/>
        <w:t>certain</w:t>
      </w:r>
      <w:r>
        <w:rPr>
          <w:spacing w:val="-4"/>
        </w:rPr>
        <w:t> </w:t>
      </w:r>
      <w:r>
        <w:rPr/>
        <w:t>interested</w:t>
      </w:r>
      <w:r>
        <w:rPr>
          <w:spacing w:val="-4"/>
        </w:rPr>
        <w:t> </w:t>
      </w:r>
      <w:r>
        <w:rPr/>
        <w:t>parties</w:t>
      </w:r>
      <w:r>
        <w:rPr>
          <w:spacing w:val="-3"/>
        </w:rPr>
        <w:t> </w:t>
      </w:r>
      <w:r>
        <w:rPr/>
        <w:t>to</w:t>
      </w:r>
      <w:r>
        <w:rPr>
          <w:spacing w:val="-2"/>
        </w:rPr>
        <w:t> </w:t>
      </w:r>
      <w:r>
        <w:rPr/>
        <w:t>undermine</w:t>
      </w:r>
      <w:r>
        <w:rPr>
          <w:spacing w:val="-3"/>
        </w:rPr>
        <w:t> </w:t>
      </w:r>
      <w:r>
        <w:rPr/>
        <w:t>the</w:t>
      </w:r>
      <w:r>
        <w:rPr>
          <w:spacing w:val="-4"/>
        </w:rPr>
        <w:t> </w:t>
      </w:r>
      <w:r>
        <w:rPr/>
        <w:t>solidarity demonstrated by Africa and some other countries that supported the cause of justice in the Montreal boycott,</w:t>
      </w:r>
    </w:p>
    <w:p>
      <w:pPr>
        <w:pStyle w:val="BodyText"/>
        <w:rPr>
          <w:sz w:val="36"/>
        </w:rPr>
      </w:pPr>
    </w:p>
    <w:p>
      <w:pPr>
        <w:pStyle w:val="ListParagraph"/>
        <w:numPr>
          <w:ilvl w:val="0"/>
          <w:numId w:val="1"/>
        </w:numPr>
        <w:tabs>
          <w:tab w:pos="825" w:val="left" w:leader="none"/>
        </w:tabs>
        <w:spacing w:line="362" w:lineRule="auto" w:before="0" w:after="0"/>
        <w:ind w:left="824" w:right="148" w:hanging="360"/>
        <w:jc w:val="both"/>
        <w:rPr>
          <w:sz w:val="24"/>
        </w:rPr>
      </w:pPr>
      <w:r>
        <w:rPr>
          <w:b/>
          <w:sz w:val="24"/>
        </w:rPr>
        <w:t>REITERATES </w:t>
      </w:r>
      <w:r>
        <w:rPr>
          <w:sz w:val="24"/>
        </w:rPr>
        <w:t>its strong condemnation of all countries and International Organizations which still maintain sporting links with apartheid South Africa,</w:t>
      </w:r>
    </w:p>
    <w:p>
      <w:pPr>
        <w:pStyle w:val="BodyText"/>
        <w:spacing w:before="7"/>
        <w:rPr>
          <w:sz w:val="35"/>
        </w:rPr>
      </w:pPr>
    </w:p>
    <w:p>
      <w:pPr>
        <w:pStyle w:val="ListParagraph"/>
        <w:numPr>
          <w:ilvl w:val="0"/>
          <w:numId w:val="1"/>
        </w:numPr>
        <w:tabs>
          <w:tab w:pos="825" w:val="left" w:leader="none"/>
        </w:tabs>
        <w:spacing w:line="360" w:lineRule="auto" w:before="1" w:after="0"/>
        <w:ind w:left="824" w:right="134" w:hanging="360"/>
        <w:jc w:val="both"/>
        <w:rPr>
          <w:sz w:val="24"/>
        </w:rPr>
      </w:pPr>
      <w:r>
        <w:rPr>
          <w:b/>
          <w:sz w:val="24"/>
        </w:rPr>
        <w:t>PRAISES </w:t>
      </w:r>
      <w:r>
        <w:rPr>
          <w:sz w:val="24"/>
        </w:rPr>
        <w:t>the courage of all OAU Member States and International Organization which boycotted the 1976 Montreal Olympic Games as a sign of solidarity with the suppressed people of South Africa;</w:t>
      </w:r>
    </w:p>
    <w:p>
      <w:pPr>
        <w:pStyle w:val="BodyText"/>
        <w:spacing w:before="11"/>
        <w:rPr>
          <w:sz w:val="35"/>
        </w:rPr>
      </w:pPr>
    </w:p>
    <w:p>
      <w:pPr>
        <w:pStyle w:val="ListParagraph"/>
        <w:numPr>
          <w:ilvl w:val="0"/>
          <w:numId w:val="1"/>
        </w:numPr>
        <w:tabs>
          <w:tab w:pos="825" w:val="left" w:leader="none"/>
        </w:tabs>
        <w:spacing w:line="360" w:lineRule="auto" w:before="0" w:after="0"/>
        <w:ind w:left="824" w:right="113" w:hanging="360"/>
        <w:jc w:val="both"/>
        <w:rPr>
          <w:sz w:val="24"/>
        </w:rPr>
      </w:pPr>
      <w:r>
        <w:rPr>
          <w:b/>
          <w:sz w:val="24"/>
        </w:rPr>
        <w:t>APPEALS </w:t>
      </w:r>
      <w:r>
        <w:rPr>
          <w:sz w:val="24"/>
        </w:rPr>
        <w:t>to all countries particularly New Zealand to withdraw support for apart</w:t>
      </w:r>
      <w:r>
        <w:rPr>
          <w:spacing w:val="-15"/>
          <w:sz w:val="24"/>
        </w:rPr>
        <w:t> </w:t>
      </w:r>
      <w:r>
        <w:rPr>
          <w:sz w:val="24"/>
        </w:rPr>
        <w:t>heid by cutting sporting links with Racist South Africa;</w:t>
      </w:r>
    </w:p>
    <w:p>
      <w:pPr>
        <w:pStyle w:val="BodyText"/>
        <w:spacing w:before="1"/>
        <w:rPr>
          <w:sz w:val="36"/>
        </w:rPr>
      </w:pPr>
    </w:p>
    <w:p>
      <w:pPr>
        <w:pStyle w:val="ListParagraph"/>
        <w:numPr>
          <w:ilvl w:val="0"/>
          <w:numId w:val="1"/>
        </w:numPr>
        <w:tabs>
          <w:tab w:pos="825" w:val="left" w:leader="none"/>
        </w:tabs>
        <w:spacing w:line="360" w:lineRule="auto" w:before="0" w:after="0"/>
        <w:ind w:left="824" w:right="130" w:hanging="360"/>
        <w:jc w:val="both"/>
        <w:rPr>
          <w:sz w:val="24"/>
        </w:rPr>
      </w:pPr>
      <w:r>
        <w:rPr>
          <w:b/>
          <w:sz w:val="24"/>
        </w:rPr>
        <w:t>CALLS UPON </w:t>
      </w:r>
      <w:r>
        <w:rPr>
          <w:sz w:val="24"/>
        </w:rPr>
        <w:t>all OAU Members to refrain from participating in all sporting events taking place in 1977 and 1978 in which New Zealand or any other country maintaining sporting links with South Africa would participate;</w:t>
      </w:r>
    </w:p>
    <w:p>
      <w:pPr>
        <w:spacing w:after="0" w:line="360" w:lineRule="auto"/>
        <w:jc w:val="both"/>
        <w:rPr>
          <w:sz w:val="24"/>
        </w:rPr>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rPr>
          <w:sz w:val="20"/>
        </w:rPr>
      </w:pPr>
    </w:p>
    <w:p>
      <w:pPr>
        <w:pStyle w:val="BodyText"/>
        <w:spacing w:before="8"/>
        <w:rPr>
          <w:sz w:val="26"/>
        </w:rPr>
      </w:pPr>
    </w:p>
    <w:p>
      <w:pPr>
        <w:pStyle w:val="ListParagraph"/>
        <w:numPr>
          <w:ilvl w:val="0"/>
          <w:numId w:val="1"/>
        </w:numPr>
        <w:tabs>
          <w:tab w:pos="825" w:val="left" w:leader="none"/>
        </w:tabs>
        <w:spacing w:line="360" w:lineRule="auto" w:before="90" w:after="0"/>
        <w:ind w:left="824" w:right="157" w:hanging="360"/>
        <w:jc w:val="left"/>
        <w:rPr>
          <w:sz w:val="24"/>
        </w:rPr>
      </w:pPr>
      <w:r>
        <w:rPr>
          <w:b/>
          <w:sz w:val="24"/>
        </w:rPr>
        <w:t>CALLS</w:t>
      </w:r>
      <w:r>
        <w:rPr>
          <w:b/>
          <w:spacing w:val="33"/>
          <w:sz w:val="24"/>
        </w:rPr>
        <w:t> </w:t>
      </w:r>
      <w:r>
        <w:rPr>
          <w:b/>
          <w:sz w:val="24"/>
        </w:rPr>
        <w:t>UPON</w:t>
      </w:r>
      <w:r>
        <w:rPr>
          <w:b/>
          <w:spacing w:val="30"/>
          <w:sz w:val="24"/>
        </w:rPr>
        <w:t> </w:t>
      </w:r>
      <w:r>
        <w:rPr>
          <w:sz w:val="24"/>
        </w:rPr>
        <w:t>the</w:t>
      </w:r>
      <w:r>
        <w:rPr>
          <w:spacing w:val="29"/>
          <w:sz w:val="24"/>
        </w:rPr>
        <w:t> </w:t>
      </w:r>
      <w:r>
        <w:rPr>
          <w:sz w:val="24"/>
        </w:rPr>
        <w:t>International</w:t>
      </w:r>
      <w:r>
        <w:rPr>
          <w:spacing w:val="29"/>
          <w:sz w:val="24"/>
        </w:rPr>
        <w:t> </w:t>
      </w:r>
      <w:r>
        <w:rPr>
          <w:sz w:val="24"/>
        </w:rPr>
        <w:t>Community</w:t>
      </w:r>
      <w:r>
        <w:rPr>
          <w:spacing w:val="29"/>
          <w:sz w:val="24"/>
        </w:rPr>
        <w:t> </w:t>
      </w:r>
      <w:r>
        <w:rPr>
          <w:sz w:val="24"/>
        </w:rPr>
        <w:t>to</w:t>
      </w:r>
      <w:r>
        <w:rPr>
          <w:spacing w:val="32"/>
          <w:sz w:val="24"/>
        </w:rPr>
        <w:t> </w:t>
      </w:r>
      <w:r>
        <w:rPr>
          <w:sz w:val="24"/>
        </w:rPr>
        <w:t>continue</w:t>
      </w:r>
      <w:r>
        <w:rPr>
          <w:spacing w:val="29"/>
          <w:sz w:val="24"/>
        </w:rPr>
        <w:t> </w:t>
      </w:r>
      <w:r>
        <w:rPr>
          <w:sz w:val="24"/>
        </w:rPr>
        <w:t>to</w:t>
      </w:r>
      <w:r>
        <w:rPr>
          <w:spacing w:val="32"/>
          <w:sz w:val="24"/>
        </w:rPr>
        <w:t> </w:t>
      </w:r>
      <w:r>
        <w:rPr>
          <w:sz w:val="24"/>
        </w:rPr>
        <w:t>demonstrate</w:t>
      </w:r>
      <w:r>
        <w:rPr>
          <w:spacing w:val="29"/>
          <w:sz w:val="24"/>
        </w:rPr>
        <w:t> </w:t>
      </w:r>
      <w:r>
        <w:rPr>
          <w:sz w:val="24"/>
        </w:rPr>
        <w:t>its</w:t>
      </w:r>
      <w:r>
        <w:rPr>
          <w:spacing w:val="29"/>
          <w:sz w:val="24"/>
        </w:rPr>
        <w:t> </w:t>
      </w:r>
      <w:r>
        <w:rPr>
          <w:sz w:val="24"/>
        </w:rPr>
        <w:t>solidarity with Africa in this struggle against apartheid;</w:t>
      </w:r>
    </w:p>
    <w:p>
      <w:pPr>
        <w:pStyle w:val="BodyText"/>
        <w:spacing w:before="8"/>
        <w:rPr>
          <w:sz w:val="35"/>
        </w:rPr>
      </w:pPr>
    </w:p>
    <w:p>
      <w:pPr>
        <w:pStyle w:val="ListParagraph"/>
        <w:numPr>
          <w:ilvl w:val="0"/>
          <w:numId w:val="1"/>
        </w:numPr>
        <w:tabs>
          <w:tab w:pos="825" w:val="left" w:leader="none"/>
        </w:tabs>
        <w:spacing w:line="362" w:lineRule="auto" w:before="0" w:after="0"/>
        <w:ind w:left="824" w:right="145" w:hanging="361"/>
        <w:jc w:val="left"/>
        <w:rPr>
          <w:sz w:val="24"/>
        </w:rPr>
      </w:pPr>
      <w:r>
        <w:rPr>
          <w:b/>
          <w:sz w:val="24"/>
        </w:rPr>
        <w:t>REQUESTS </w:t>
      </w:r>
      <w:r>
        <w:rPr>
          <w:sz w:val="24"/>
        </w:rPr>
        <w:t>the OAU Secretary-General, in co-operation with the Supreme Council for Sports in Africa, to follow-up the implementation of this Resolution.</w:t>
      </w:r>
    </w:p>
    <w:sectPr>
      <w:headerReference w:type="default" r:id="rId6"/>
      <w:pgSz w:w="12240" w:h="15840"/>
      <w:pgMar w:header="732"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63968" type="#_x0000_t202" id="docshape1" filled="false" stroked="false">
          <v:textbox inset="0,0,0,0">
            <w:txbxContent>
              <w:p>
                <w:pPr>
                  <w:pStyle w:val="BodyText"/>
                  <w:spacing w:before="10"/>
                  <w:ind w:left="20"/>
                </w:pPr>
                <w:r>
                  <w:rPr/>
                  <w:t>CM/Res.</w:t>
                </w:r>
                <w:r>
                  <w:rPr>
                    <w:spacing w:val="-4"/>
                  </w:rPr>
                  <w:t> </w:t>
                </w:r>
                <w:r>
                  <w:rPr/>
                  <w:t>526</w:t>
                </w:r>
                <w:r>
                  <w:rPr>
                    <w:spacing w:val="-5"/>
                  </w:rPr>
                  <w:t> </w:t>
                </w:r>
                <w:r>
                  <w:rPr>
                    <w:spacing w:val="-2"/>
                  </w:rPr>
                  <w:t>(XXVIII)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5.880005pt;margin-top:35.617577pt;width:95.2pt;height:13.2pt;mso-position-horizontal-relative:page;mso-position-vertical-relative:page;z-index:-15763456" type="#_x0000_t202" id="docshape2" filled="false" stroked="false">
          <v:textbox inset="0,0,0,0">
            <w:txbxContent>
              <w:p>
                <w:pPr>
                  <w:spacing w:before="13"/>
                  <w:ind w:left="20" w:right="0" w:firstLine="0"/>
                  <w:jc w:val="left"/>
                  <w:rPr>
                    <w:sz w:val="20"/>
                  </w:rPr>
                </w:pPr>
                <w:r>
                  <w:rPr>
                    <w:spacing w:val="-2"/>
                    <w:sz w:val="20"/>
                  </w:rPr>
                  <w:t>CM/Res.</w:t>
                </w:r>
                <w:r>
                  <w:rPr>
                    <w:spacing w:val="-3"/>
                    <w:sz w:val="20"/>
                  </w:rPr>
                  <w:t> </w:t>
                </w:r>
                <w:r>
                  <w:rPr>
                    <w:spacing w:val="-2"/>
                    <w:sz w:val="20"/>
                  </w:rPr>
                  <w:t>526</w:t>
                </w:r>
                <w:r>
                  <w:rPr>
                    <w:spacing w:val="-4"/>
                    <w:sz w:val="20"/>
                  </w:rPr>
                  <w:t> </w:t>
                </w:r>
                <w:r>
                  <w:rPr>
                    <w:spacing w:val="-2"/>
                    <w:sz w:val="20"/>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1424" w:right="1383"/>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824" w:right="11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2023-06-07T08:51:19Z</dcterms:created>
  <dcterms:modified xsi:type="dcterms:W3CDTF">2023-06-07T08:51:19Z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