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w:t>
      </w:r>
      <w:r>
        <w:rPr>
          <w:spacing w:val="-12"/>
          <w:u w:val="single"/>
        </w:rPr>
        <w:t> </w:t>
      </w:r>
      <w:r>
        <w:rPr>
          <w:u w:val="single"/>
        </w:rPr>
        <w:t>ON</w:t>
      </w:r>
      <w:r>
        <w:rPr>
          <w:spacing w:val="-12"/>
          <w:u w:val="single"/>
        </w:rPr>
        <w:t> </w:t>
      </w:r>
      <w:r>
        <w:rPr>
          <w:u w:val="single"/>
        </w:rPr>
        <w:t>ARMED</w:t>
      </w:r>
      <w:r>
        <w:rPr>
          <w:spacing w:val="-12"/>
          <w:u w:val="single"/>
        </w:rPr>
        <w:t> </w:t>
      </w:r>
      <w:r>
        <w:rPr>
          <w:u w:val="single"/>
        </w:rPr>
        <w:t>AGGRESSION</w:t>
      </w:r>
      <w:r>
        <w:rPr>
          <w:spacing w:val="-12"/>
          <w:u w:val="single"/>
        </w:rPr>
        <w:t> </w:t>
      </w:r>
      <w:r>
        <w:rPr>
          <w:u w:val="single"/>
        </w:rPr>
        <w:t>AGAINST</w:t>
      </w:r>
      <w:r>
        <w:rPr>
          <w:u w:val="none"/>
        </w:rPr>
        <w:t> </w:t>
      </w:r>
      <w:r>
        <w:rPr>
          <w:u w:val="single"/>
        </w:rPr>
        <w:t>THE PEOPLE’S REPUBLIC OF BENIN</w:t>
      </w:r>
    </w:p>
    <w:p>
      <w:pPr>
        <w:pStyle w:val="BodyText"/>
        <w:spacing w:before="5"/>
        <w:rPr>
          <w:b/>
          <w:sz w:val="27"/>
        </w:rPr>
      </w:pPr>
    </w:p>
    <w:p>
      <w:pPr>
        <w:pStyle w:val="BodyText"/>
        <w:spacing w:line="362" w:lineRule="auto" w:before="90"/>
        <w:ind w:left="104" w:right="114" w:firstLine="720"/>
        <w:jc w:val="both"/>
      </w:pPr>
      <w:r>
        <w:rPr/>
        <w:t>The Council of Ministers of the Organization of Africa Unity, meeting in its Twenty</w:t>
      </w:r>
      <w:r>
        <w:rPr>
          <w:spacing w:val="-15"/>
        </w:rPr>
        <w:t> </w:t>
      </w:r>
      <w:r>
        <w:rPr/>
        <w:t>- Eight Ordinary Session in Lome, Togo, from 21 to 28 February 1977.</w:t>
      </w:r>
    </w:p>
    <w:p>
      <w:pPr>
        <w:pStyle w:val="BodyText"/>
        <w:spacing w:before="7"/>
        <w:rPr>
          <w:sz w:val="35"/>
        </w:rPr>
      </w:pPr>
    </w:p>
    <w:p>
      <w:pPr>
        <w:pStyle w:val="BodyText"/>
        <w:spacing w:line="360" w:lineRule="auto"/>
        <w:ind w:left="104" w:right="155" w:firstLine="719"/>
        <w:jc w:val="both"/>
      </w:pPr>
      <w:r>
        <w:rPr>
          <w:b/>
          <w:u w:val="single"/>
        </w:rPr>
        <w:t>Having examined</w:t>
      </w:r>
      <w:r>
        <w:rPr>
          <w:b/>
        </w:rPr>
        <w:t> </w:t>
      </w:r>
      <w:r>
        <w:rPr/>
        <w:t>the case of armed aggression against the People’s Republic of Benin on 16 January 1977;</w:t>
      </w:r>
    </w:p>
    <w:p>
      <w:pPr>
        <w:pStyle w:val="BodyText"/>
        <w:spacing w:before="1"/>
        <w:rPr>
          <w:sz w:val="36"/>
        </w:rPr>
      </w:pPr>
    </w:p>
    <w:p>
      <w:pPr>
        <w:pStyle w:val="BodyText"/>
        <w:spacing w:line="360" w:lineRule="auto"/>
        <w:ind w:left="104" w:right="123" w:firstLine="720"/>
        <w:jc w:val="both"/>
      </w:pPr>
      <w:r>
        <w:rPr>
          <w:b/>
          <w:u w:val="single"/>
        </w:rPr>
        <w:t>Having heard</w:t>
      </w:r>
      <w:r>
        <w:rPr>
          <w:b/>
        </w:rPr>
        <w:t> </w:t>
      </w:r>
      <w:r>
        <w:rPr/>
        <w:t>the Report of the OAU Fact-Finding Commission composed of Libya, Guinea, Nigeria, Mozambique, Niger, Angola, Zambia and a Representative of the General Secretariat which visited Benin on 23 February 1877,</w:t>
      </w:r>
    </w:p>
    <w:p>
      <w:pPr>
        <w:pStyle w:val="BodyText"/>
        <w:rPr>
          <w:sz w:val="36"/>
        </w:rPr>
      </w:pPr>
    </w:p>
    <w:p>
      <w:pPr>
        <w:pStyle w:val="BodyText"/>
        <w:ind w:left="824"/>
      </w:pPr>
      <w:r>
        <w:rPr>
          <w:b/>
          <w:u w:val="single"/>
        </w:rPr>
        <w:t>Aware</w:t>
      </w:r>
      <w:r>
        <w:rPr>
          <w:b/>
          <w:spacing w:val="-8"/>
          <w:u w:val="single"/>
        </w:rPr>
        <w:t> </w:t>
      </w:r>
      <w:r>
        <w:rPr/>
        <w:t>of</w:t>
      </w:r>
      <w:r>
        <w:rPr>
          <w:spacing w:val="-8"/>
        </w:rPr>
        <w:t> </w:t>
      </w:r>
      <w:r>
        <w:rPr/>
        <w:t>the</w:t>
      </w:r>
      <w:r>
        <w:rPr>
          <w:spacing w:val="-8"/>
        </w:rPr>
        <w:t> </w:t>
      </w:r>
      <w:r>
        <w:rPr/>
        <w:t>gravity</w:t>
      </w:r>
      <w:r>
        <w:rPr>
          <w:spacing w:val="-8"/>
        </w:rPr>
        <w:t> </w:t>
      </w:r>
      <w:r>
        <w:rPr/>
        <w:t>of</w:t>
      </w:r>
      <w:r>
        <w:rPr>
          <w:spacing w:val="-8"/>
        </w:rPr>
        <w:t> </w:t>
      </w:r>
      <w:r>
        <w:rPr/>
        <w:t>the</w:t>
      </w:r>
      <w:r>
        <w:rPr>
          <w:spacing w:val="-8"/>
        </w:rPr>
        <w:t> </w:t>
      </w:r>
      <w:r>
        <w:rPr>
          <w:spacing w:val="-2"/>
        </w:rPr>
        <w:t>situation,</w:t>
      </w:r>
    </w:p>
    <w:p>
      <w:pPr>
        <w:pStyle w:val="BodyText"/>
        <w:rPr>
          <w:sz w:val="26"/>
        </w:rPr>
      </w:pPr>
    </w:p>
    <w:p>
      <w:pPr>
        <w:pStyle w:val="BodyText"/>
        <w:spacing w:before="9"/>
        <w:rPr>
          <w:sz w:val="21"/>
        </w:rPr>
      </w:pPr>
    </w:p>
    <w:p>
      <w:pPr>
        <w:pStyle w:val="BodyText"/>
        <w:spacing w:before="1"/>
        <w:ind w:left="824"/>
      </w:pPr>
      <w:r>
        <w:rPr>
          <w:b/>
          <w:u w:val="single"/>
        </w:rPr>
        <w:t>Having</w:t>
      </w:r>
      <w:r>
        <w:rPr>
          <w:b/>
          <w:spacing w:val="-9"/>
          <w:u w:val="single"/>
        </w:rPr>
        <w:t> </w:t>
      </w:r>
      <w:r>
        <w:rPr>
          <w:b/>
          <w:u w:val="single"/>
        </w:rPr>
        <w:t>heard</w:t>
      </w:r>
      <w:r>
        <w:rPr>
          <w:b/>
          <w:spacing w:val="-6"/>
        </w:rPr>
        <w:t> </w:t>
      </w:r>
      <w:r>
        <w:rPr/>
        <w:t>statements</w:t>
      </w:r>
      <w:r>
        <w:rPr>
          <w:spacing w:val="-9"/>
        </w:rPr>
        <w:t> </w:t>
      </w:r>
      <w:r>
        <w:rPr/>
        <w:t>by</w:t>
      </w:r>
      <w:r>
        <w:rPr>
          <w:spacing w:val="-8"/>
        </w:rPr>
        <w:t> </w:t>
      </w:r>
      <w:r>
        <w:rPr/>
        <w:t>the</w:t>
      </w:r>
      <w:r>
        <w:rPr>
          <w:spacing w:val="-8"/>
        </w:rPr>
        <w:t> </w:t>
      </w:r>
      <w:r>
        <w:rPr/>
        <w:t>Heads</w:t>
      </w:r>
      <w:r>
        <w:rPr>
          <w:spacing w:val="-8"/>
        </w:rPr>
        <w:t> </w:t>
      </w:r>
      <w:r>
        <w:rPr/>
        <w:t>of</w:t>
      </w:r>
      <w:r>
        <w:rPr>
          <w:spacing w:val="-9"/>
        </w:rPr>
        <w:t> </w:t>
      </w:r>
      <w:r>
        <w:rPr/>
        <w:t>Delegations</w:t>
      </w:r>
      <w:r>
        <w:rPr>
          <w:spacing w:val="-8"/>
        </w:rPr>
        <w:t> </w:t>
      </w:r>
      <w:r>
        <w:rPr/>
        <w:t>of</w:t>
      </w:r>
      <w:r>
        <w:rPr>
          <w:spacing w:val="-8"/>
        </w:rPr>
        <w:t> </w:t>
      </w:r>
      <w:r>
        <w:rPr/>
        <w:t>Benin,</w:t>
      </w:r>
      <w:r>
        <w:rPr>
          <w:spacing w:val="-7"/>
        </w:rPr>
        <w:t> </w:t>
      </w:r>
      <w:r>
        <w:rPr/>
        <w:t>Morocco</w:t>
      </w:r>
      <w:r>
        <w:rPr>
          <w:spacing w:val="-6"/>
        </w:rPr>
        <w:t> </w:t>
      </w:r>
      <w:r>
        <w:rPr/>
        <w:t>and</w:t>
      </w:r>
      <w:r>
        <w:rPr>
          <w:spacing w:val="-9"/>
        </w:rPr>
        <w:t> </w:t>
      </w:r>
      <w:r>
        <w:rPr>
          <w:spacing w:val="-2"/>
        </w:rPr>
        <w:t>Gabon,</w:t>
      </w:r>
    </w:p>
    <w:p>
      <w:pPr>
        <w:pStyle w:val="BodyText"/>
        <w:rPr>
          <w:sz w:val="26"/>
        </w:rPr>
      </w:pPr>
    </w:p>
    <w:p>
      <w:pPr>
        <w:pStyle w:val="BodyText"/>
        <w:spacing w:before="2"/>
        <w:rPr>
          <w:sz w:val="22"/>
        </w:rPr>
      </w:pPr>
    </w:p>
    <w:p>
      <w:pPr>
        <w:pStyle w:val="ListParagraph"/>
        <w:numPr>
          <w:ilvl w:val="0"/>
          <w:numId w:val="1"/>
        </w:numPr>
        <w:tabs>
          <w:tab w:pos="1185" w:val="left" w:leader="none"/>
        </w:tabs>
        <w:spacing w:line="360" w:lineRule="auto" w:before="0" w:after="0"/>
        <w:ind w:left="1184" w:right="136" w:hanging="360"/>
        <w:jc w:val="both"/>
        <w:rPr>
          <w:sz w:val="24"/>
        </w:rPr>
      </w:pPr>
      <w:r>
        <w:rPr>
          <w:b/>
          <w:sz w:val="24"/>
        </w:rPr>
        <w:t>STRONGLY CONDEMNS </w:t>
      </w:r>
      <w:r>
        <w:rPr>
          <w:sz w:val="24"/>
        </w:rPr>
        <w:t>the act of armed aggression against the People’s Republic of Benin and CONGRATULATES the heroic brotherly people of Benin on their courageous routing of the aggression;</w:t>
      </w:r>
    </w:p>
    <w:p>
      <w:pPr>
        <w:pStyle w:val="BodyText"/>
        <w:rPr>
          <w:sz w:val="36"/>
        </w:rPr>
      </w:pPr>
    </w:p>
    <w:p>
      <w:pPr>
        <w:pStyle w:val="ListParagraph"/>
        <w:numPr>
          <w:ilvl w:val="0"/>
          <w:numId w:val="1"/>
        </w:numPr>
        <w:tabs>
          <w:tab w:pos="1185" w:val="left" w:leader="none"/>
        </w:tabs>
        <w:spacing w:line="360" w:lineRule="auto" w:before="0" w:after="0"/>
        <w:ind w:left="1184" w:right="113" w:hanging="360"/>
        <w:jc w:val="both"/>
        <w:rPr>
          <w:sz w:val="24"/>
        </w:rPr>
      </w:pPr>
      <w:r>
        <w:rPr>
          <w:b/>
          <w:sz w:val="24"/>
        </w:rPr>
        <w:t>TAKES NOTE </w:t>
      </w:r>
      <w:r>
        <w:rPr>
          <w:sz w:val="24"/>
        </w:rPr>
        <w:t>of the Report of the Fact-Finding commission and DONGRATULATES the members of the Commission and the OAU General Secretariat on the mission they have accomplished;</w:t>
      </w:r>
    </w:p>
    <w:p>
      <w:pPr>
        <w:pStyle w:val="BodyText"/>
        <w:rPr>
          <w:sz w:val="36"/>
        </w:rPr>
      </w:pPr>
    </w:p>
    <w:p>
      <w:pPr>
        <w:pStyle w:val="ListParagraph"/>
        <w:numPr>
          <w:ilvl w:val="0"/>
          <w:numId w:val="1"/>
        </w:numPr>
        <w:tabs>
          <w:tab w:pos="1185" w:val="left" w:leader="none"/>
        </w:tabs>
        <w:spacing w:line="360" w:lineRule="auto" w:before="0" w:after="0"/>
        <w:ind w:left="1184" w:right="125" w:hanging="360"/>
        <w:jc w:val="both"/>
        <w:rPr>
          <w:sz w:val="24"/>
        </w:rPr>
      </w:pPr>
      <w:r>
        <w:rPr>
          <w:b/>
          <w:sz w:val="24"/>
        </w:rPr>
        <w:t>INVITES </w:t>
      </w:r>
      <w:r>
        <w:rPr>
          <w:sz w:val="24"/>
        </w:rPr>
        <w:t>the Chairman of the Council of Ministers and the OAU Administrative Secretary-General to forward the whole dossier immediately to the Current Chairman of the Assembly of Heads of State and Government to enable him inform his colleagues of this important question so that they could examine it as early as </w:t>
      </w:r>
      <w:r>
        <w:rPr>
          <w:spacing w:val="-2"/>
          <w:sz w:val="24"/>
        </w:rPr>
        <w:t>possible;</w:t>
      </w:r>
    </w:p>
    <w:p>
      <w:pPr>
        <w:spacing w:after="0" w:line="360" w:lineRule="auto"/>
        <w:jc w:val="both"/>
        <w:rPr>
          <w:sz w:val="24"/>
        </w:rPr>
        <w:sectPr>
          <w:headerReference w:type="default" r:id="rId5"/>
          <w:type w:val="continuous"/>
          <w:pgSz w:w="12240" w:h="15840"/>
          <w:pgMar w:header="727" w:footer="0" w:top="1320" w:bottom="280" w:left="1340" w:right="1320"/>
          <w:pgNumType w:start="1"/>
        </w:sectPr>
      </w:pPr>
    </w:p>
    <w:p>
      <w:pPr>
        <w:pStyle w:val="BodyText"/>
        <w:rPr>
          <w:sz w:val="20"/>
        </w:rPr>
      </w:pPr>
    </w:p>
    <w:p>
      <w:pPr>
        <w:pStyle w:val="ListParagraph"/>
        <w:numPr>
          <w:ilvl w:val="0"/>
          <w:numId w:val="1"/>
        </w:numPr>
        <w:tabs>
          <w:tab w:pos="1185" w:val="left" w:leader="none"/>
        </w:tabs>
        <w:spacing w:line="362" w:lineRule="auto" w:before="210" w:after="0"/>
        <w:ind w:left="1184" w:right="149" w:hanging="360"/>
        <w:jc w:val="both"/>
        <w:rPr>
          <w:sz w:val="24"/>
        </w:rPr>
      </w:pPr>
      <w:r>
        <w:rPr>
          <w:b/>
          <w:sz w:val="24"/>
        </w:rPr>
        <w:t>EMPOWERS </w:t>
      </w:r>
      <w:r>
        <w:rPr>
          <w:sz w:val="24"/>
        </w:rPr>
        <w:t>the</w:t>
      </w:r>
      <w:r>
        <w:rPr>
          <w:spacing w:val="-6"/>
          <w:sz w:val="24"/>
        </w:rPr>
        <w:t> </w:t>
      </w:r>
      <w:r>
        <w:rPr>
          <w:sz w:val="24"/>
        </w:rPr>
        <w:t>African</w:t>
      </w:r>
      <w:r>
        <w:rPr>
          <w:spacing w:val="-6"/>
          <w:sz w:val="24"/>
        </w:rPr>
        <w:t> </w:t>
      </w:r>
      <w:r>
        <w:rPr>
          <w:sz w:val="24"/>
        </w:rPr>
        <w:t>Group</w:t>
      </w:r>
      <w:r>
        <w:rPr>
          <w:spacing w:val="-6"/>
          <w:sz w:val="24"/>
        </w:rPr>
        <w:t> </w:t>
      </w:r>
      <w:r>
        <w:rPr>
          <w:sz w:val="24"/>
        </w:rPr>
        <w:t>at</w:t>
      </w:r>
      <w:r>
        <w:rPr>
          <w:spacing w:val="-4"/>
          <w:sz w:val="24"/>
        </w:rPr>
        <w:t> </w:t>
      </w:r>
      <w:r>
        <w:rPr>
          <w:sz w:val="24"/>
        </w:rPr>
        <w:t>the</w:t>
      </w:r>
      <w:r>
        <w:rPr>
          <w:spacing w:val="-6"/>
          <w:sz w:val="24"/>
        </w:rPr>
        <w:t> </w:t>
      </w:r>
      <w:r>
        <w:rPr>
          <w:sz w:val="24"/>
        </w:rPr>
        <w:t>United</w:t>
      </w:r>
      <w:r>
        <w:rPr>
          <w:spacing w:val="-6"/>
          <w:sz w:val="24"/>
        </w:rPr>
        <w:t> </w:t>
      </w:r>
      <w:r>
        <w:rPr>
          <w:sz w:val="24"/>
        </w:rPr>
        <w:t>Nations</w:t>
      </w:r>
      <w:r>
        <w:rPr>
          <w:spacing w:val="-6"/>
          <w:sz w:val="24"/>
        </w:rPr>
        <w:t> </w:t>
      </w:r>
      <w:r>
        <w:rPr>
          <w:sz w:val="24"/>
        </w:rPr>
        <w:t>to</w:t>
      </w:r>
      <w:r>
        <w:rPr>
          <w:spacing w:val="-5"/>
          <w:sz w:val="24"/>
        </w:rPr>
        <w:t> </w:t>
      </w:r>
      <w:r>
        <w:rPr>
          <w:sz w:val="24"/>
        </w:rPr>
        <w:t>act</w:t>
      </w:r>
      <w:r>
        <w:rPr>
          <w:spacing w:val="-5"/>
          <w:sz w:val="24"/>
        </w:rPr>
        <w:t> </w:t>
      </w:r>
      <w:r>
        <w:rPr>
          <w:sz w:val="24"/>
        </w:rPr>
        <w:t>in</w:t>
      </w:r>
      <w:r>
        <w:rPr>
          <w:spacing w:val="-6"/>
          <w:sz w:val="24"/>
        </w:rPr>
        <w:t> </w:t>
      </w:r>
      <w:r>
        <w:rPr>
          <w:sz w:val="24"/>
        </w:rPr>
        <w:t>solidarity</w:t>
      </w:r>
      <w:r>
        <w:rPr>
          <w:spacing w:val="-6"/>
          <w:sz w:val="24"/>
        </w:rPr>
        <w:t> </w:t>
      </w:r>
      <w:r>
        <w:rPr>
          <w:sz w:val="24"/>
        </w:rPr>
        <w:t>with</w:t>
      </w:r>
      <w:r>
        <w:rPr>
          <w:spacing w:val="-6"/>
          <w:sz w:val="24"/>
        </w:rPr>
        <w:t> </w:t>
      </w:r>
      <w:r>
        <w:rPr>
          <w:sz w:val="24"/>
        </w:rPr>
        <w:t>Benin during the debate of the case by the United Nations Security Council;</w:t>
      </w:r>
    </w:p>
    <w:p>
      <w:pPr>
        <w:pStyle w:val="BodyText"/>
        <w:spacing w:before="7"/>
        <w:rPr>
          <w:sz w:val="35"/>
        </w:rPr>
      </w:pPr>
    </w:p>
    <w:p>
      <w:pPr>
        <w:pStyle w:val="ListParagraph"/>
        <w:numPr>
          <w:ilvl w:val="0"/>
          <w:numId w:val="1"/>
        </w:numPr>
        <w:tabs>
          <w:tab w:pos="1185" w:val="left" w:leader="none"/>
        </w:tabs>
        <w:spacing w:line="360" w:lineRule="auto" w:before="0" w:after="0"/>
        <w:ind w:left="1184" w:right="120" w:hanging="360"/>
        <w:jc w:val="both"/>
        <w:rPr>
          <w:sz w:val="24"/>
        </w:rPr>
      </w:pPr>
      <w:r>
        <w:rPr>
          <w:b/>
          <w:sz w:val="24"/>
        </w:rPr>
        <w:t>INVITES </w:t>
      </w:r>
      <w:r>
        <w:rPr>
          <w:sz w:val="24"/>
        </w:rPr>
        <w:t>the Commission of Enquiry and the Administrative Secretary-General to pursue the matter and report to the OAU Heads of State and Government on any new information brought to their attention.</w:t>
      </w:r>
    </w:p>
    <w:sectPr>
      <w:headerReference w:type="default" r:id="rId6"/>
      <w:pgSz w:w="12240" w:h="15840"/>
      <w:pgMar w:header="732"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61408" type="#_x0000_t202" id="docshape1" filled="false" stroked="false">
          <v:textbox inset="0,0,0,0">
            <w:txbxContent>
              <w:p>
                <w:pPr>
                  <w:pStyle w:val="BodyText"/>
                  <w:spacing w:before="10"/>
                  <w:ind w:left="20"/>
                </w:pPr>
                <w:r>
                  <w:rPr/>
                  <w:t>CM/Res.</w:t>
                </w:r>
                <w:r>
                  <w:rPr>
                    <w:spacing w:val="-4"/>
                  </w:rPr>
                  <w:t> </w:t>
                </w:r>
                <w:r>
                  <w:rPr/>
                  <w:t>527</w:t>
                </w:r>
                <w:r>
                  <w:rPr>
                    <w:spacing w:val="-5"/>
                  </w:rPr>
                  <w:t> </w:t>
                </w:r>
                <w:r>
                  <w:rPr>
                    <w:spacing w:val="-2"/>
                  </w:rPr>
                  <w:t>(XXVIII)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5.880005pt;margin-top:35.617577pt;width:95.2pt;height:13.2pt;mso-position-horizontal-relative:page;mso-position-vertical-relative:page;z-index:-15760896" type="#_x0000_t202" id="docshape2" filled="false" stroked="false">
          <v:textbox inset="0,0,0,0">
            <w:txbxContent>
              <w:p>
                <w:pPr>
                  <w:spacing w:before="13"/>
                  <w:ind w:left="20" w:right="0" w:firstLine="0"/>
                  <w:jc w:val="left"/>
                  <w:rPr>
                    <w:sz w:val="20"/>
                  </w:rPr>
                </w:pPr>
                <w:r>
                  <w:rPr>
                    <w:spacing w:val="-2"/>
                    <w:sz w:val="20"/>
                  </w:rPr>
                  <w:t>CM/Res.</w:t>
                </w:r>
                <w:r>
                  <w:rPr>
                    <w:spacing w:val="-3"/>
                    <w:sz w:val="20"/>
                  </w:rPr>
                  <w:t> </w:t>
                </w:r>
                <w:r>
                  <w:rPr>
                    <w:spacing w:val="-2"/>
                    <w:sz w:val="20"/>
                  </w:rPr>
                  <w:t>527</w:t>
                </w:r>
                <w:r>
                  <w:rPr>
                    <w:spacing w:val="-4"/>
                    <w:sz w:val="20"/>
                  </w:rPr>
                  <w:t> </w:t>
                </w:r>
                <w:r>
                  <w:rPr>
                    <w:spacing w:val="-2"/>
                    <w:sz w:val="20"/>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1"/>
      </w:pPr>
      <w:rPr>
        <w:rFonts w:hint="default"/>
        <w:lang w:val="en-US" w:eastAsia="en-US" w:bidi="ar-SA"/>
      </w:rPr>
    </w:lvl>
    <w:lvl w:ilvl="2">
      <w:start w:val="0"/>
      <w:numFmt w:val="bullet"/>
      <w:lvlText w:val="•"/>
      <w:lvlJc w:val="left"/>
      <w:pPr>
        <w:ind w:left="2860" w:hanging="361"/>
      </w:pPr>
      <w:rPr>
        <w:rFonts w:hint="default"/>
        <w:lang w:val="en-US" w:eastAsia="en-US" w:bidi="ar-SA"/>
      </w:rPr>
    </w:lvl>
    <w:lvl w:ilvl="3">
      <w:start w:val="0"/>
      <w:numFmt w:val="bullet"/>
      <w:lvlText w:val="•"/>
      <w:lvlJc w:val="left"/>
      <w:pPr>
        <w:ind w:left="3700" w:hanging="361"/>
      </w:pPr>
      <w:rPr>
        <w:rFonts w:hint="default"/>
        <w:lang w:val="en-US" w:eastAsia="en-US" w:bidi="ar-SA"/>
      </w:rPr>
    </w:lvl>
    <w:lvl w:ilvl="4">
      <w:start w:val="0"/>
      <w:numFmt w:val="bullet"/>
      <w:lvlText w:val="•"/>
      <w:lvlJc w:val="left"/>
      <w:pPr>
        <w:ind w:left="4540" w:hanging="361"/>
      </w:pPr>
      <w:rPr>
        <w:rFonts w:hint="default"/>
        <w:lang w:val="en-US" w:eastAsia="en-US" w:bidi="ar-SA"/>
      </w:rPr>
    </w:lvl>
    <w:lvl w:ilvl="5">
      <w:start w:val="0"/>
      <w:numFmt w:val="bullet"/>
      <w:lvlText w:val="•"/>
      <w:lvlJc w:val="left"/>
      <w:pPr>
        <w:ind w:left="5380" w:hanging="361"/>
      </w:pPr>
      <w:rPr>
        <w:rFonts w:hint="default"/>
        <w:lang w:val="en-US" w:eastAsia="en-US" w:bidi="ar-SA"/>
      </w:rPr>
    </w:lvl>
    <w:lvl w:ilvl="6">
      <w:start w:val="0"/>
      <w:numFmt w:val="bullet"/>
      <w:lvlText w:val="•"/>
      <w:lvlJc w:val="left"/>
      <w:pPr>
        <w:ind w:left="6220" w:hanging="361"/>
      </w:pPr>
      <w:rPr>
        <w:rFonts w:hint="default"/>
        <w:lang w:val="en-US" w:eastAsia="en-US" w:bidi="ar-SA"/>
      </w:rPr>
    </w:lvl>
    <w:lvl w:ilvl="7">
      <w:start w:val="0"/>
      <w:numFmt w:val="bullet"/>
      <w:lvlText w:val="•"/>
      <w:lvlJc w:val="left"/>
      <w:pPr>
        <w:ind w:left="7060" w:hanging="361"/>
      </w:pPr>
      <w:rPr>
        <w:rFonts w:hint="default"/>
        <w:lang w:val="en-US" w:eastAsia="en-US" w:bidi="ar-SA"/>
      </w:rPr>
    </w:lvl>
    <w:lvl w:ilvl="8">
      <w:start w:val="0"/>
      <w:numFmt w:val="bullet"/>
      <w:lvlText w:val="•"/>
      <w:lvlJc w:val="left"/>
      <w:pPr>
        <w:ind w:left="790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2663" w:right="1455" w:hanging="778"/>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2023-06-07T08:51:22Z</dcterms:created>
  <dcterms:modified xsi:type="dcterms:W3CDTF">2023-06-07T08:51:22Z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