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7"/>
        <w:jc w:val="right"/>
      </w:pPr>
      <w:r>
        <w:rPr/>
        <w:t>CM/Res.</w:t>
      </w:r>
      <w:r>
        <w:rPr>
          <w:spacing w:val="-4"/>
        </w:rPr>
        <w:t> </w:t>
      </w:r>
      <w:r>
        <w:rPr/>
        <w:t>528</w:t>
      </w:r>
      <w:r>
        <w:rPr>
          <w:spacing w:val="-5"/>
        </w:rPr>
        <w:t> </w:t>
      </w:r>
      <w:r>
        <w:rPr>
          <w:spacing w:val="-2"/>
        </w:rPr>
        <w:t>(XXVIII)</w:t>
      </w:r>
    </w:p>
    <w:p>
      <w:pPr>
        <w:pStyle w:val="BodyText"/>
        <w:spacing w:before="6"/>
        <w:rPr>
          <w:sz w:val="36"/>
        </w:rPr>
      </w:pPr>
    </w:p>
    <w:p>
      <w:pPr>
        <w:pStyle w:val="Title"/>
        <w:rPr>
          <w:u w:val="none"/>
        </w:rPr>
      </w:pPr>
      <w:r>
        <w:rPr>
          <w:u w:val="single"/>
        </w:rPr>
        <w:t>RESOLUTION</w:t>
      </w:r>
      <w:r>
        <w:rPr>
          <w:spacing w:val="-6"/>
          <w:u w:val="single"/>
        </w:rPr>
        <w:t> </w:t>
      </w:r>
      <w:r>
        <w:rPr>
          <w:u w:val="single"/>
        </w:rPr>
        <w:t>ON</w:t>
      </w:r>
      <w:r>
        <w:rPr>
          <w:spacing w:val="-5"/>
          <w:u w:val="single"/>
        </w:rPr>
        <w:t> </w:t>
      </w:r>
      <w:r>
        <w:rPr>
          <w:u w:val="single"/>
        </w:rPr>
        <w:t>THE</w:t>
      </w:r>
      <w:r>
        <w:rPr>
          <w:spacing w:val="-6"/>
          <w:u w:val="single"/>
        </w:rPr>
        <w:t> </w:t>
      </w:r>
      <w:r>
        <w:rPr>
          <w:u w:val="single"/>
        </w:rPr>
        <w:t>ORDINARY</w:t>
      </w:r>
      <w:r>
        <w:rPr>
          <w:spacing w:val="-5"/>
          <w:u w:val="single"/>
        </w:rPr>
        <w:t> </w:t>
      </w:r>
      <w:r>
        <w:rPr>
          <w:u w:val="single"/>
        </w:rPr>
        <w:t>SESSION</w:t>
      </w:r>
      <w:r>
        <w:rPr>
          <w:spacing w:val="-5"/>
          <w:u w:val="single"/>
        </w:rPr>
        <w:t> </w:t>
      </w:r>
      <w:r>
        <w:rPr>
          <w:u w:val="single"/>
        </w:rPr>
        <w:t>OF</w:t>
      </w:r>
      <w:r>
        <w:rPr>
          <w:spacing w:val="-6"/>
          <w:u w:val="single"/>
        </w:rPr>
        <w:t> </w:t>
      </w:r>
      <w:r>
        <w:rPr>
          <w:u w:val="single"/>
        </w:rPr>
        <w:t>THE</w:t>
      </w:r>
      <w:r>
        <w:rPr>
          <w:spacing w:val="-5"/>
          <w:u w:val="single"/>
        </w:rPr>
        <w:t> </w:t>
      </w:r>
      <w:r>
        <w:rPr>
          <w:u w:val="single"/>
        </w:rPr>
        <w:t>COUNCIL</w:t>
      </w:r>
      <w:r>
        <w:rPr>
          <w:spacing w:val="-5"/>
          <w:u w:val="single"/>
        </w:rPr>
        <w:t> </w:t>
      </w:r>
      <w:r>
        <w:rPr>
          <w:u w:val="single"/>
        </w:rPr>
        <w:t>OF</w:t>
      </w:r>
      <w:r>
        <w:rPr>
          <w:spacing w:val="-6"/>
          <w:u w:val="single"/>
        </w:rPr>
        <w:t> </w:t>
      </w:r>
      <w:r>
        <w:rPr>
          <w:spacing w:val="-2"/>
          <w:u w:val="single"/>
        </w:rPr>
        <w:t>MINISTERS</w:t>
      </w:r>
    </w:p>
    <w:p>
      <w:pPr>
        <w:pStyle w:val="BodyText"/>
        <w:rPr>
          <w:b/>
          <w:sz w:val="20"/>
        </w:rPr>
      </w:pPr>
    </w:p>
    <w:p>
      <w:pPr>
        <w:pStyle w:val="BodyText"/>
        <w:spacing w:before="7"/>
        <w:rPr>
          <w:b/>
          <w:sz w:val="19"/>
        </w:rPr>
      </w:pPr>
    </w:p>
    <w:p>
      <w:pPr>
        <w:pStyle w:val="BodyText"/>
        <w:spacing w:line="360" w:lineRule="auto" w:before="90"/>
        <w:ind w:left="104" w:right="114" w:firstLine="720"/>
        <w:jc w:val="both"/>
      </w:pPr>
      <w:r>
        <w:rPr/>
        <w:t>The Council of Ministers of the Organization of Africa Unity, meeting in its Twenty</w:t>
      </w:r>
      <w:r>
        <w:rPr>
          <w:spacing w:val="-15"/>
        </w:rPr>
        <w:t> </w:t>
      </w:r>
      <w:r>
        <w:rPr/>
        <w:t>- Eight Ordinary Session in Lome, Togo, from 21 to 28 February 1977.</w:t>
      </w:r>
    </w:p>
    <w:p>
      <w:pPr>
        <w:pStyle w:val="BodyText"/>
        <w:spacing w:before="1"/>
        <w:rPr>
          <w:sz w:val="36"/>
        </w:rPr>
      </w:pPr>
    </w:p>
    <w:p>
      <w:pPr>
        <w:pStyle w:val="BodyText"/>
        <w:spacing w:line="360" w:lineRule="auto"/>
        <w:ind w:left="104" w:right="116" w:firstLine="720"/>
        <w:jc w:val="both"/>
      </w:pPr>
      <w:r>
        <w:rPr>
          <w:b/>
          <w:u w:val="single"/>
        </w:rPr>
        <w:t>Having considered</w:t>
      </w:r>
      <w:r>
        <w:rPr>
          <w:b/>
        </w:rPr>
        <w:t> </w:t>
      </w:r>
      <w:r>
        <w:rPr/>
        <w:t>the Report of the Advisory Committee on Budgetary and Financial Matters as well as the Report of the </w:t>
      </w:r>
      <w:r>
        <w:rPr>
          <w:u w:val="single"/>
        </w:rPr>
        <w:t>Ad Hoc</w:t>
      </w:r>
      <w:r>
        <w:rPr/>
        <w:t> Committee on OAU Structural Reform;</w:t>
      </w:r>
    </w:p>
    <w:p>
      <w:pPr>
        <w:pStyle w:val="BodyText"/>
        <w:spacing w:before="1"/>
        <w:rPr>
          <w:sz w:val="36"/>
        </w:rPr>
      </w:pPr>
    </w:p>
    <w:p>
      <w:pPr>
        <w:pStyle w:val="BodyText"/>
        <w:spacing w:line="360" w:lineRule="auto"/>
        <w:ind w:left="104" w:right="147" w:firstLine="720"/>
        <w:jc w:val="both"/>
      </w:pPr>
      <w:r>
        <w:rPr>
          <w:b/>
          <w:u w:val="single"/>
        </w:rPr>
        <w:t>Considering</w:t>
      </w:r>
      <w:r>
        <w:rPr>
          <w:b/>
        </w:rPr>
        <w:t> </w:t>
      </w:r>
      <w:r>
        <w:rPr/>
        <w:t>that the Charter provides for two Ordinary Sessions of the Council of Ministers in a year,</w:t>
      </w:r>
    </w:p>
    <w:p>
      <w:pPr>
        <w:pStyle w:val="BodyText"/>
        <w:spacing w:before="8"/>
        <w:rPr>
          <w:sz w:val="35"/>
        </w:rPr>
      </w:pPr>
    </w:p>
    <w:p>
      <w:pPr>
        <w:pStyle w:val="BodyText"/>
        <w:spacing w:line="360" w:lineRule="auto"/>
        <w:ind w:left="104" w:right="134" w:firstLine="720"/>
        <w:jc w:val="both"/>
      </w:pPr>
      <w:r>
        <w:rPr>
          <w:b/>
          <w:u w:val="single"/>
        </w:rPr>
        <w:t>Convinced</w:t>
      </w:r>
      <w:r>
        <w:rPr>
          <w:b/>
        </w:rPr>
        <w:t> </w:t>
      </w:r>
      <w:r>
        <w:rPr/>
        <w:t>that the February Session should be devoted to the consideration of administrative, financial</w:t>
      </w:r>
      <w:r>
        <w:rPr>
          <w:spacing w:val="-2"/>
        </w:rPr>
        <w:t> </w:t>
      </w:r>
      <w:r>
        <w:rPr/>
        <w:t>and</w:t>
      </w:r>
      <w:r>
        <w:rPr>
          <w:spacing w:val="-2"/>
        </w:rPr>
        <w:t> </w:t>
      </w:r>
      <w:r>
        <w:rPr/>
        <w:t>institutional</w:t>
      </w:r>
      <w:r>
        <w:rPr>
          <w:spacing w:val="-2"/>
        </w:rPr>
        <w:t> </w:t>
      </w:r>
      <w:r>
        <w:rPr/>
        <w:t>matters</w:t>
      </w:r>
      <w:r>
        <w:rPr>
          <w:spacing w:val="-2"/>
        </w:rPr>
        <w:t> </w:t>
      </w:r>
      <w:r>
        <w:rPr/>
        <w:t>and</w:t>
      </w:r>
      <w:r>
        <w:rPr>
          <w:spacing w:val="-2"/>
        </w:rPr>
        <w:t> </w:t>
      </w:r>
      <w:r>
        <w:rPr/>
        <w:t>adoption</w:t>
      </w:r>
      <w:r>
        <w:rPr>
          <w:spacing w:val="-2"/>
        </w:rPr>
        <w:t> </w:t>
      </w:r>
      <w:r>
        <w:rPr/>
        <w:t>of</w:t>
      </w:r>
      <w:r>
        <w:rPr>
          <w:spacing w:val="-2"/>
        </w:rPr>
        <w:t> </w:t>
      </w:r>
      <w:r>
        <w:rPr/>
        <w:t>the</w:t>
      </w:r>
      <w:r>
        <w:rPr>
          <w:spacing w:val="-2"/>
        </w:rPr>
        <w:t> </w:t>
      </w:r>
      <w:r>
        <w:rPr/>
        <w:t>Budget of</w:t>
      </w:r>
      <w:r>
        <w:rPr>
          <w:spacing w:val="-2"/>
        </w:rPr>
        <w:t> </w:t>
      </w:r>
      <w:r>
        <w:rPr/>
        <w:t>the</w:t>
      </w:r>
      <w:r>
        <w:rPr>
          <w:spacing w:val="-2"/>
        </w:rPr>
        <w:t> </w:t>
      </w:r>
      <w:r>
        <w:rPr/>
        <w:t>Organization of the Budget of the Organization of African Unity for the next financial year,</w:t>
      </w:r>
    </w:p>
    <w:p>
      <w:pPr>
        <w:pStyle w:val="BodyText"/>
        <w:rPr>
          <w:sz w:val="36"/>
        </w:rPr>
      </w:pPr>
    </w:p>
    <w:p>
      <w:pPr>
        <w:pStyle w:val="BodyText"/>
        <w:spacing w:before="1"/>
        <w:ind w:left="824"/>
      </w:pPr>
      <w:r>
        <w:rPr>
          <w:b/>
        </w:rPr>
        <w:t>DECIDES</w:t>
      </w:r>
      <w:r>
        <w:rPr>
          <w:b/>
          <w:spacing w:val="-12"/>
        </w:rPr>
        <w:t> </w:t>
      </w:r>
      <w:r>
        <w:rPr/>
        <w:t>without</w:t>
      </w:r>
      <w:r>
        <w:rPr>
          <w:spacing w:val="-10"/>
        </w:rPr>
        <w:t> </w:t>
      </w:r>
      <w:r>
        <w:rPr/>
        <w:t>prejudice</w:t>
      </w:r>
      <w:r>
        <w:rPr>
          <w:spacing w:val="-12"/>
        </w:rPr>
        <w:t> </w:t>
      </w:r>
      <w:r>
        <w:rPr/>
        <w:t>to</w:t>
      </w:r>
      <w:r>
        <w:rPr>
          <w:spacing w:val="-9"/>
        </w:rPr>
        <w:t> </w:t>
      </w:r>
      <w:r>
        <w:rPr/>
        <w:t>the</w:t>
      </w:r>
      <w:r>
        <w:rPr>
          <w:spacing w:val="-12"/>
        </w:rPr>
        <w:t> </w:t>
      </w:r>
      <w:r>
        <w:rPr/>
        <w:t>provisions</w:t>
      </w:r>
      <w:r>
        <w:rPr>
          <w:spacing w:val="-13"/>
        </w:rPr>
        <w:t> </w:t>
      </w:r>
      <w:r>
        <w:rPr>
          <w:spacing w:val="12"/>
        </w:rPr>
        <w:t>of</w:t>
      </w:r>
      <w:r>
        <w:rPr>
          <w:spacing w:val="-12"/>
        </w:rPr>
        <w:t> </w:t>
      </w:r>
      <w:r>
        <w:rPr/>
        <w:t>Article</w:t>
      </w:r>
      <w:r>
        <w:rPr>
          <w:spacing w:val="-12"/>
        </w:rPr>
        <w:t> </w:t>
      </w:r>
      <w:r>
        <w:rPr>
          <w:spacing w:val="-5"/>
        </w:rPr>
        <w:t>15:</w:t>
      </w:r>
    </w:p>
    <w:p>
      <w:pPr>
        <w:pStyle w:val="BodyText"/>
        <w:rPr>
          <w:sz w:val="26"/>
        </w:rPr>
      </w:pPr>
    </w:p>
    <w:p>
      <w:pPr>
        <w:pStyle w:val="BodyText"/>
        <w:spacing w:before="2"/>
        <w:rPr>
          <w:sz w:val="22"/>
        </w:rPr>
      </w:pPr>
    </w:p>
    <w:p>
      <w:pPr>
        <w:pStyle w:val="ListParagraph"/>
        <w:numPr>
          <w:ilvl w:val="0"/>
          <w:numId w:val="1"/>
        </w:numPr>
        <w:tabs>
          <w:tab w:pos="1186" w:val="left" w:leader="none"/>
        </w:tabs>
        <w:spacing w:line="360" w:lineRule="auto" w:before="0" w:after="0"/>
        <w:ind w:left="1184" w:right="160" w:hanging="360"/>
        <w:jc w:val="both"/>
        <w:rPr>
          <w:sz w:val="24"/>
        </w:rPr>
      </w:pPr>
      <w:r>
        <w:rPr>
          <w:sz w:val="24"/>
        </w:rPr>
        <w:t>that rule 6 of the Rules of Procedure of the Council of Ministers should be amended by deleting the words “inter alia”</w:t>
      </w:r>
      <w:r>
        <w:rPr>
          <w:spacing w:val="-11"/>
          <w:sz w:val="24"/>
        </w:rPr>
        <w:t> </w:t>
      </w:r>
      <w:r>
        <w:rPr>
          <w:sz w:val="24"/>
        </w:rPr>
        <w:t>at paragraph 2 of Rule 6;</w:t>
      </w:r>
    </w:p>
    <w:p>
      <w:pPr>
        <w:pStyle w:val="BodyText"/>
        <w:spacing w:before="1"/>
        <w:rPr>
          <w:sz w:val="36"/>
        </w:rPr>
      </w:pPr>
    </w:p>
    <w:p>
      <w:pPr>
        <w:pStyle w:val="ListParagraph"/>
        <w:numPr>
          <w:ilvl w:val="0"/>
          <w:numId w:val="1"/>
        </w:numPr>
        <w:tabs>
          <w:tab w:pos="1186" w:val="left" w:leader="none"/>
        </w:tabs>
        <w:spacing w:line="360" w:lineRule="auto" w:before="0" w:after="0"/>
        <w:ind w:left="1184" w:right="133" w:hanging="360"/>
        <w:jc w:val="both"/>
        <w:rPr>
          <w:sz w:val="24"/>
        </w:rPr>
      </w:pPr>
      <w:r>
        <w:rPr>
          <w:sz w:val="24"/>
        </w:rPr>
        <w:t>that henceforth, all the Member States represented in Addis Ababa as well as Ethiopia, shall be members of the Advisory Committee on budgetary and Financial Matters except the countries providing the OAU External Auditors;</w:t>
      </w:r>
    </w:p>
    <w:p>
      <w:pPr>
        <w:pStyle w:val="BodyText"/>
        <w:rPr>
          <w:sz w:val="36"/>
        </w:rPr>
      </w:pPr>
    </w:p>
    <w:p>
      <w:pPr>
        <w:pStyle w:val="ListParagraph"/>
        <w:numPr>
          <w:ilvl w:val="0"/>
          <w:numId w:val="1"/>
        </w:numPr>
        <w:tabs>
          <w:tab w:pos="1186" w:val="left" w:leader="none"/>
        </w:tabs>
        <w:spacing w:line="360" w:lineRule="auto" w:before="1" w:after="0"/>
        <w:ind w:left="1184" w:right="122" w:hanging="360"/>
        <w:jc w:val="both"/>
        <w:rPr>
          <w:sz w:val="24"/>
        </w:rPr>
      </w:pPr>
      <w:r>
        <w:rPr>
          <w:sz w:val="24"/>
        </w:rPr>
        <w:t>that the members of the Advisory Committee on budgetary and Financial Matters be henceforth assisted by Experts from Member States, particularly, during the December Session.</w:t>
      </w:r>
      <w:r>
        <w:rPr>
          <w:spacing w:val="40"/>
          <w:sz w:val="24"/>
        </w:rPr>
        <w:t> </w:t>
      </w:r>
      <w:r>
        <w:rPr>
          <w:sz w:val="24"/>
        </w:rPr>
        <w:t>The Advisory Committee shall examine in detail the budgetary and financial proposals and shall submit its recommendations to the February Ordinary Session of the Council.</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1"/>
      </w:pPr>
      <w:rPr>
        <w:rFonts w:hint="default"/>
        <w:lang w:val="en-US" w:eastAsia="en-US" w:bidi="ar-SA"/>
      </w:rPr>
    </w:lvl>
    <w:lvl w:ilvl="2">
      <w:start w:val="0"/>
      <w:numFmt w:val="bullet"/>
      <w:lvlText w:val="•"/>
      <w:lvlJc w:val="left"/>
      <w:pPr>
        <w:ind w:left="2860" w:hanging="361"/>
      </w:pPr>
      <w:rPr>
        <w:rFonts w:hint="default"/>
        <w:lang w:val="en-US" w:eastAsia="en-US" w:bidi="ar-SA"/>
      </w:rPr>
    </w:lvl>
    <w:lvl w:ilvl="3">
      <w:start w:val="0"/>
      <w:numFmt w:val="bullet"/>
      <w:lvlText w:val="•"/>
      <w:lvlJc w:val="left"/>
      <w:pPr>
        <w:ind w:left="3700" w:hanging="361"/>
      </w:pPr>
      <w:rPr>
        <w:rFonts w:hint="default"/>
        <w:lang w:val="en-US" w:eastAsia="en-US" w:bidi="ar-SA"/>
      </w:rPr>
    </w:lvl>
    <w:lvl w:ilvl="4">
      <w:start w:val="0"/>
      <w:numFmt w:val="bullet"/>
      <w:lvlText w:val="•"/>
      <w:lvlJc w:val="left"/>
      <w:pPr>
        <w:ind w:left="4540" w:hanging="361"/>
      </w:pPr>
      <w:rPr>
        <w:rFonts w:hint="default"/>
        <w:lang w:val="en-US" w:eastAsia="en-US" w:bidi="ar-SA"/>
      </w:rPr>
    </w:lvl>
    <w:lvl w:ilvl="5">
      <w:start w:val="0"/>
      <w:numFmt w:val="bullet"/>
      <w:lvlText w:val="•"/>
      <w:lvlJc w:val="left"/>
      <w:pPr>
        <w:ind w:left="5380" w:hanging="361"/>
      </w:pPr>
      <w:rPr>
        <w:rFonts w:hint="default"/>
        <w:lang w:val="en-US" w:eastAsia="en-US" w:bidi="ar-SA"/>
      </w:rPr>
    </w:lvl>
    <w:lvl w:ilvl="6">
      <w:start w:val="0"/>
      <w:numFmt w:val="bullet"/>
      <w:lvlText w:val="•"/>
      <w:lvlJc w:val="left"/>
      <w:pPr>
        <w:ind w:left="6220" w:hanging="361"/>
      </w:pPr>
      <w:rPr>
        <w:rFonts w:hint="default"/>
        <w:lang w:val="en-US" w:eastAsia="en-US" w:bidi="ar-SA"/>
      </w:rPr>
    </w:lvl>
    <w:lvl w:ilvl="7">
      <w:start w:val="0"/>
      <w:numFmt w:val="bullet"/>
      <w:lvlText w:val="•"/>
      <w:lvlJc w:val="left"/>
      <w:pPr>
        <w:ind w:left="7060" w:hanging="361"/>
      </w:pPr>
      <w:rPr>
        <w:rFonts w:hint="default"/>
        <w:lang w:val="en-US" w:eastAsia="en-US" w:bidi="ar-SA"/>
      </w:rPr>
    </w:lvl>
    <w:lvl w:ilvl="8">
      <w:start w:val="0"/>
      <w:numFmt w:val="bullet"/>
      <w:lvlText w:val="•"/>
      <w:lvlJc w:val="left"/>
      <w:pPr>
        <w:ind w:left="790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292"/>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2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2023-06-07T08:51:24Z</dcterms:created>
  <dcterms:modified xsi:type="dcterms:W3CDTF">2023-06-07T08:51:24Z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