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0" w:lineRule="auto"/>
        <w:rPr>
          <w:u w:val="none"/>
        </w:rPr>
      </w:pPr>
      <w:r>
        <w:rPr>
          <w:u w:val="single"/>
        </w:rPr>
        <w:t>RESOLUTION</w:t>
      </w:r>
      <w:r>
        <w:rPr>
          <w:spacing w:val="-7"/>
          <w:u w:val="single"/>
        </w:rPr>
        <w:t> </w:t>
      </w:r>
      <w:r>
        <w:rPr>
          <w:u w:val="single"/>
        </w:rPr>
        <w:t>ON</w:t>
      </w:r>
      <w:r>
        <w:rPr>
          <w:spacing w:val="-7"/>
          <w:u w:val="single"/>
        </w:rPr>
        <w:t> </w:t>
      </w:r>
      <w:r>
        <w:rPr>
          <w:u w:val="single"/>
        </w:rPr>
        <w:t>THE</w:t>
      </w:r>
      <w:r>
        <w:rPr>
          <w:spacing w:val="-7"/>
          <w:u w:val="single"/>
        </w:rPr>
        <w:t> </w:t>
      </w:r>
      <w:r>
        <w:rPr>
          <w:u w:val="single"/>
        </w:rPr>
        <w:t>MIDDLE</w:t>
      </w:r>
      <w:r>
        <w:rPr>
          <w:spacing w:val="-7"/>
          <w:u w:val="single"/>
        </w:rPr>
        <w:t> </w:t>
      </w:r>
      <w:r>
        <w:rPr>
          <w:u w:val="single"/>
        </w:rPr>
        <w:t>EAST</w:t>
      </w:r>
      <w:r>
        <w:rPr>
          <w:spacing w:val="-7"/>
          <w:u w:val="single"/>
        </w:rPr>
        <w:t> </w:t>
      </w:r>
      <w:r>
        <w:rPr>
          <w:u w:val="single"/>
        </w:rPr>
        <w:t>PROBLEM</w:t>
      </w:r>
      <w:r>
        <w:rPr>
          <w:spacing w:val="-6"/>
          <w:u w:val="single"/>
        </w:rPr>
        <w:t> </w:t>
      </w:r>
      <w:r>
        <w:rPr>
          <w:u w:val="single"/>
        </w:rPr>
        <w:t>AND</w:t>
      </w:r>
      <w:r>
        <w:rPr>
          <w:spacing w:val="-7"/>
          <w:u w:val="single"/>
        </w:rPr>
        <w:t> </w:t>
      </w:r>
      <w:r>
        <w:rPr>
          <w:u w:val="single"/>
        </w:rPr>
        <w:t>THE</w:t>
      </w:r>
      <w:r>
        <w:rPr>
          <w:spacing w:val="-7"/>
          <w:u w:val="single"/>
        </w:rPr>
        <w:t> </w:t>
      </w:r>
      <w:r>
        <w:rPr>
          <w:u w:val="single"/>
        </w:rPr>
        <w:t>PALESTINIAN</w:t>
      </w:r>
      <w:r>
        <w:rPr>
          <w:u w:val="none"/>
        </w:rPr>
        <w:t> </w:t>
      </w:r>
      <w:r>
        <w:rPr>
          <w:spacing w:val="-2"/>
          <w:u w:val="single"/>
        </w:rPr>
        <w:t>QUESTION</w:t>
      </w:r>
    </w:p>
    <w:p>
      <w:pPr>
        <w:pStyle w:val="BodyText"/>
        <w:spacing w:before="5"/>
        <w:rPr>
          <w:b/>
          <w:sz w:val="27"/>
        </w:rPr>
      </w:pPr>
    </w:p>
    <w:p>
      <w:pPr>
        <w:pStyle w:val="BodyText"/>
        <w:spacing w:line="362" w:lineRule="auto" w:before="90"/>
        <w:ind w:left="104" w:right="114" w:firstLine="720"/>
        <w:jc w:val="both"/>
      </w:pPr>
      <w:r>
        <w:rPr/>
        <w:t>The Council of Ministers of the Organization of Africa Unity, meeting in its Twenty</w:t>
      </w:r>
      <w:r>
        <w:rPr>
          <w:spacing w:val="-15"/>
        </w:rPr>
        <w:t> </w:t>
      </w:r>
      <w:r>
        <w:rPr/>
        <w:t>- Eight Ordinary Session in Lome, Togo, from 21 to 28 February 1977.</w:t>
      </w:r>
    </w:p>
    <w:p>
      <w:pPr>
        <w:pStyle w:val="BodyText"/>
        <w:spacing w:before="7"/>
        <w:rPr>
          <w:sz w:val="35"/>
        </w:rPr>
      </w:pPr>
    </w:p>
    <w:p>
      <w:pPr>
        <w:pStyle w:val="BodyText"/>
        <w:spacing w:line="360" w:lineRule="auto"/>
        <w:ind w:left="104" w:right="133" w:firstLine="719"/>
        <w:jc w:val="both"/>
      </w:pPr>
      <w:r>
        <w:rPr>
          <w:b/>
          <w:u w:val="single"/>
        </w:rPr>
        <w:t>Having considered</w:t>
      </w:r>
      <w:r>
        <w:rPr>
          <w:b/>
        </w:rPr>
        <w:t> </w:t>
      </w:r>
      <w:r>
        <w:rPr/>
        <w:t>the Reports of the Administrative Secretary-General of the OAU on the</w:t>
      </w:r>
      <w:r>
        <w:rPr>
          <w:spacing w:val="-3"/>
        </w:rPr>
        <w:t> </w:t>
      </w:r>
      <w:r>
        <w:rPr/>
        <w:t>middle</w:t>
      </w:r>
      <w:r>
        <w:rPr>
          <w:spacing w:val="-3"/>
        </w:rPr>
        <w:t> </w:t>
      </w:r>
      <w:r>
        <w:rPr/>
        <w:t>East problem</w:t>
      </w:r>
      <w:r>
        <w:rPr>
          <w:spacing w:val="-3"/>
        </w:rPr>
        <w:t> </w:t>
      </w:r>
      <w:r>
        <w:rPr/>
        <w:t>(Document CM/Res.</w:t>
      </w:r>
      <w:r>
        <w:rPr>
          <w:spacing w:val="-1"/>
        </w:rPr>
        <w:t> </w:t>
      </w:r>
      <w:r>
        <w:rPr/>
        <w:t>792</w:t>
      </w:r>
      <w:r>
        <w:rPr>
          <w:spacing w:val="-3"/>
        </w:rPr>
        <w:t> </w:t>
      </w:r>
      <w:r>
        <w:rPr/>
        <w:t>(XXVIII)</w:t>
      </w:r>
      <w:r>
        <w:rPr>
          <w:spacing w:val="-2"/>
        </w:rPr>
        <w:t> </w:t>
      </w:r>
      <w:r>
        <w:rPr/>
        <w:t>and</w:t>
      </w:r>
      <w:r>
        <w:rPr>
          <w:spacing w:val="-3"/>
        </w:rPr>
        <w:t> </w:t>
      </w:r>
      <w:r>
        <w:rPr/>
        <w:t>CM/Res.</w:t>
      </w:r>
      <w:r>
        <w:rPr>
          <w:spacing w:val="-1"/>
        </w:rPr>
        <w:t> </w:t>
      </w:r>
      <w:r>
        <w:rPr/>
        <w:t>793</w:t>
      </w:r>
      <w:r>
        <w:rPr>
          <w:spacing w:val="-3"/>
        </w:rPr>
        <w:t> </w:t>
      </w:r>
      <w:r>
        <w:rPr/>
        <w:t>(XXCIII)), on</w:t>
      </w:r>
      <w:r>
        <w:rPr>
          <w:spacing w:val="-3"/>
        </w:rPr>
        <w:t> </w:t>
      </w:r>
      <w:r>
        <w:rPr/>
        <w:t>the Palestinian question,</w:t>
      </w:r>
    </w:p>
    <w:p>
      <w:pPr>
        <w:pStyle w:val="BodyText"/>
        <w:rPr>
          <w:sz w:val="36"/>
        </w:rPr>
      </w:pPr>
    </w:p>
    <w:p>
      <w:pPr>
        <w:pStyle w:val="BodyText"/>
        <w:spacing w:line="360" w:lineRule="auto"/>
        <w:ind w:left="104" w:right="140" w:firstLine="720"/>
        <w:jc w:val="both"/>
      </w:pPr>
      <w:r>
        <w:rPr>
          <w:b/>
          <w:u w:val="single"/>
        </w:rPr>
        <w:t>Having heard</w:t>
      </w:r>
      <w:r>
        <w:rPr>
          <w:b/>
        </w:rPr>
        <w:t> </w:t>
      </w:r>
      <w:r>
        <w:rPr/>
        <w:t>the statement delivered during the session by H.E. the Minister of State</w:t>
      </w:r>
      <w:r>
        <w:rPr>
          <w:spacing w:val="40"/>
        </w:rPr>
        <w:t> </w:t>
      </w:r>
      <w:r>
        <w:rPr/>
        <w:t>for Foreign Relations of the Arab Republic of Egypt,</w:t>
      </w:r>
    </w:p>
    <w:p>
      <w:pPr>
        <w:pStyle w:val="BodyText"/>
        <w:spacing w:before="1"/>
        <w:rPr>
          <w:sz w:val="36"/>
        </w:rPr>
      </w:pPr>
    </w:p>
    <w:p>
      <w:pPr>
        <w:pStyle w:val="BodyText"/>
        <w:spacing w:line="360" w:lineRule="auto"/>
        <w:ind w:left="104" w:right="118" w:firstLine="720"/>
        <w:jc w:val="both"/>
      </w:pPr>
      <w:r>
        <w:rPr>
          <w:b/>
          <w:u w:val="single"/>
        </w:rPr>
        <w:t>Recalling</w:t>
      </w:r>
      <w:r>
        <w:rPr>
          <w:b/>
        </w:rPr>
        <w:t> </w:t>
      </w:r>
      <w:r>
        <w:rPr/>
        <w:t>the Resolutions adopted by previous sessions of the Assembly of Heads of State and Government and the Council of Ministers on the Middle East and the occupied Arab territories and on the Palestinian problem and, in particular, AHG/</w:t>
      </w:r>
      <w:r>
        <w:rPr>
          <w:spacing w:val="-15"/>
        </w:rPr>
        <w:t> </w:t>
      </w:r>
      <w:r>
        <w:rPr/>
        <w:t>Res. 76 (XII) and CM/Res. 459, CM/Res. 460 (XXVI) and CM/Res. 482 (XXVII),</w:t>
      </w:r>
    </w:p>
    <w:p>
      <w:pPr>
        <w:pStyle w:val="BodyText"/>
        <w:spacing w:before="11"/>
        <w:rPr>
          <w:sz w:val="35"/>
        </w:rPr>
      </w:pPr>
    </w:p>
    <w:p>
      <w:pPr>
        <w:pStyle w:val="BodyText"/>
        <w:spacing w:line="360" w:lineRule="auto"/>
        <w:ind w:left="104" w:right="133" w:firstLine="720"/>
        <w:jc w:val="both"/>
      </w:pPr>
      <w:r>
        <w:rPr>
          <w:b/>
          <w:u w:val="single"/>
        </w:rPr>
        <w:t>Guided</w:t>
      </w:r>
      <w:r>
        <w:rPr>
          <w:b/>
        </w:rPr>
        <w:t> </w:t>
      </w:r>
      <w:r>
        <w:rPr/>
        <w:t>by the principles and objectives of the OAU and the UN Charters and the common destiny of the African and Arab peoples and their continued joint struggle for the exercise of their rights, freedom peace and independence,</w:t>
      </w:r>
    </w:p>
    <w:p>
      <w:pPr>
        <w:pStyle w:val="BodyText"/>
        <w:rPr>
          <w:sz w:val="36"/>
        </w:rPr>
      </w:pPr>
    </w:p>
    <w:p>
      <w:pPr>
        <w:pStyle w:val="BodyText"/>
        <w:spacing w:line="360" w:lineRule="auto"/>
        <w:ind w:left="104" w:right="147" w:firstLine="720"/>
        <w:jc w:val="both"/>
      </w:pPr>
      <w:r>
        <w:rPr>
          <w:b/>
          <w:u w:val="single"/>
        </w:rPr>
        <w:t>Reaffirming</w:t>
      </w:r>
      <w:r>
        <w:rPr>
          <w:b/>
        </w:rPr>
        <w:t> </w:t>
      </w:r>
      <w:r>
        <w:rPr/>
        <w:t>that just and lasting peace cannot be attained except on the basis of total Israeli withdrawal from all the occupied Arab territories and the recognition of the national legitimate rights of the Palestinian people to sovereignty and national independence and its right to self-determination and the creation of its own State,</w:t>
      </w:r>
    </w:p>
    <w:p>
      <w:pPr>
        <w:pStyle w:val="BodyText"/>
        <w:spacing w:before="10"/>
        <w:rPr>
          <w:sz w:val="35"/>
        </w:rPr>
      </w:pPr>
    </w:p>
    <w:p>
      <w:pPr>
        <w:pStyle w:val="BodyText"/>
        <w:spacing w:line="360" w:lineRule="auto" w:before="1"/>
        <w:ind w:left="104" w:right="129" w:firstLine="720"/>
        <w:jc w:val="both"/>
      </w:pPr>
      <w:r>
        <w:rPr>
          <w:b/>
          <w:u w:val="single"/>
        </w:rPr>
        <w:t>Noting</w:t>
      </w:r>
      <w:r>
        <w:rPr>
          <w:b/>
        </w:rPr>
        <w:t> </w:t>
      </w:r>
      <w:r>
        <w:rPr/>
        <w:t>with indignation that the alliance between Israel and the racist regime in South Africa</w:t>
      </w:r>
      <w:r>
        <w:rPr>
          <w:spacing w:val="-3"/>
        </w:rPr>
        <w:t> </w:t>
      </w:r>
      <w:r>
        <w:rPr/>
        <w:t>and</w:t>
      </w:r>
      <w:r>
        <w:rPr>
          <w:spacing w:val="-3"/>
        </w:rPr>
        <w:t> </w:t>
      </w:r>
      <w:r>
        <w:rPr/>
        <w:t>Zimbabwe</w:t>
      </w:r>
      <w:r>
        <w:rPr>
          <w:spacing w:val="-3"/>
        </w:rPr>
        <w:t> </w:t>
      </w:r>
      <w:r>
        <w:rPr/>
        <w:t>aims</w:t>
      </w:r>
      <w:r>
        <w:rPr>
          <w:spacing w:val="-3"/>
        </w:rPr>
        <w:t> </w:t>
      </w:r>
      <w:r>
        <w:rPr/>
        <w:t>at</w:t>
      </w:r>
      <w:r>
        <w:rPr>
          <w:spacing w:val="-1"/>
        </w:rPr>
        <w:t> </w:t>
      </w:r>
      <w:r>
        <w:rPr/>
        <w:t>the</w:t>
      </w:r>
      <w:r>
        <w:rPr>
          <w:spacing w:val="-3"/>
        </w:rPr>
        <w:t> </w:t>
      </w:r>
      <w:r>
        <w:rPr/>
        <w:t>continuation</w:t>
      </w:r>
      <w:r>
        <w:rPr>
          <w:spacing w:val="-4"/>
        </w:rPr>
        <w:t> </w:t>
      </w:r>
      <w:r>
        <w:rPr/>
        <w:t>of</w:t>
      </w:r>
      <w:r>
        <w:rPr>
          <w:spacing w:val="-4"/>
        </w:rPr>
        <w:t> </w:t>
      </w:r>
      <w:r>
        <w:rPr/>
        <w:t>the</w:t>
      </w:r>
      <w:r>
        <w:rPr>
          <w:spacing w:val="-4"/>
        </w:rPr>
        <w:t> </w:t>
      </w:r>
      <w:r>
        <w:rPr/>
        <w:t>policy</w:t>
      </w:r>
      <w:r>
        <w:rPr>
          <w:spacing w:val="-4"/>
        </w:rPr>
        <w:t> </w:t>
      </w:r>
      <w:r>
        <w:rPr/>
        <w:t>of</w:t>
      </w:r>
      <w:r>
        <w:rPr>
          <w:spacing w:val="-4"/>
        </w:rPr>
        <w:t> </w:t>
      </w:r>
      <w:r>
        <w:rPr/>
        <w:t>terrorism</w:t>
      </w:r>
      <w:r>
        <w:rPr>
          <w:spacing w:val="-4"/>
        </w:rPr>
        <w:t> </w:t>
      </w:r>
      <w:r>
        <w:rPr/>
        <w:t>and</w:t>
      </w:r>
      <w:r>
        <w:rPr>
          <w:spacing w:val="-4"/>
        </w:rPr>
        <w:t> </w:t>
      </w:r>
      <w:r>
        <w:rPr/>
        <w:t>extermination</w:t>
      </w:r>
      <w:r>
        <w:rPr>
          <w:spacing w:val="-4"/>
        </w:rPr>
        <w:t> </w:t>
      </w:r>
      <w:r>
        <w:rPr/>
        <w:t>of</w:t>
      </w:r>
      <w:r>
        <w:rPr>
          <w:spacing w:val="-4"/>
        </w:rPr>
        <w:t> </w:t>
      </w:r>
      <w:r>
        <w:rPr/>
        <w:t>the Palestinian and Arab peoples in the occupied Arab territories and the African peoples in South Africa, Namibia and Zimbabwe, and that Israel and the racist regimes are pursuing identical methods and maneuvers.</w:t>
      </w:r>
    </w:p>
    <w:p>
      <w:pPr>
        <w:spacing w:after="0" w:line="360" w:lineRule="auto"/>
        <w:jc w:val="both"/>
        <w:sectPr>
          <w:headerReference w:type="default" r:id="rId5"/>
          <w:type w:val="continuous"/>
          <w:pgSz w:w="12240" w:h="15840"/>
          <w:pgMar w:header="727" w:footer="0" w:top="1320" w:bottom="280" w:left="1340" w:right="1320"/>
          <w:pgNumType w:start="1"/>
        </w:sectPr>
      </w:pPr>
    </w:p>
    <w:p>
      <w:pPr>
        <w:pStyle w:val="BodyText"/>
        <w:rPr>
          <w:sz w:val="20"/>
        </w:rPr>
      </w:pPr>
    </w:p>
    <w:p>
      <w:pPr>
        <w:pStyle w:val="BodyText"/>
        <w:spacing w:before="4"/>
        <w:rPr>
          <w:sz w:val="22"/>
        </w:rPr>
      </w:pPr>
    </w:p>
    <w:p>
      <w:pPr>
        <w:pStyle w:val="ListParagraph"/>
        <w:numPr>
          <w:ilvl w:val="0"/>
          <w:numId w:val="1"/>
        </w:numPr>
        <w:tabs>
          <w:tab w:pos="1185" w:val="left" w:leader="none"/>
        </w:tabs>
        <w:spacing w:line="360" w:lineRule="auto" w:before="1" w:after="0"/>
        <w:ind w:left="1184" w:right="122" w:hanging="360"/>
        <w:jc w:val="both"/>
        <w:rPr>
          <w:sz w:val="24"/>
        </w:rPr>
      </w:pPr>
      <w:r>
        <w:rPr>
          <w:b/>
          <w:sz w:val="24"/>
        </w:rPr>
        <w:t>ENDORSES </w:t>
      </w:r>
      <w:r>
        <w:rPr>
          <w:sz w:val="24"/>
        </w:rPr>
        <w:t>the Reports of the Secretary-General as contained in Documents CM/792 (XXVIII) and CM/793 (XXVIII);</w:t>
      </w:r>
    </w:p>
    <w:p>
      <w:pPr>
        <w:pStyle w:val="BodyText"/>
        <w:spacing w:before="1"/>
        <w:rPr>
          <w:sz w:val="36"/>
        </w:rPr>
      </w:pPr>
    </w:p>
    <w:p>
      <w:pPr>
        <w:pStyle w:val="ListParagraph"/>
        <w:numPr>
          <w:ilvl w:val="0"/>
          <w:numId w:val="1"/>
        </w:numPr>
        <w:tabs>
          <w:tab w:pos="1185" w:val="left" w:leader="none"/>
        </w:tabs>
        <w:spacing w:line="360" w:lineRule="auto" w:before="0" w:after="0"/>
        <w:ind w:left="1184" w:right="153" w:hanging="361"/>
        <w:jc w:val="both"/>
        <w:rPr>
          <w:sz w:val="24"/>
        </w:rPr>
      </w:pPr>
      <w:r>
        <w:rPr>
          <w:b/>
          <w:sz w:val="24"/>
        </w:rPr>
        <w:t>TAKES NOTE </w:t>
      </w:r>
      <w:r>
        <w:rPr>
          <w:sz w:val="24"/>
        </w:rPr>
        <w:t>of the stand adopted by the Minster of State of the Arab Republic of Egypt on the Middle East problem and the Palestinian Question;</w:t>
      </w:r>
    </w:p>
    <w:p>
      <w:pPr>
        <w:pStyle w:val="BodyText"/>
        <w:spacing w:before="8"/>
        <w:rPr>
          <w:sz w:val="35"/>
        </w:rPr>
      </w:pPr>
    </w:p>
    <w:p>
      <w:pPr>
        <w:pStyle w:val="ListParagraph"/>
        <w:numPr>
          <w:ilvl w:val="0"/>
          <w:numId w:val="1"/>
        </w:numPr>
        <w:tabs>
          <w:tab w:pos="1185" w:val="left" w:leader="none"/>
        </w:tabs>
        <w:spacing w:line="360" w:lineRule="auto" w:before="0" w:after="0"/>
        <w:ind w:left="1184" w:right="139" w:hanging="360"/>
        <w:jc w:val="both"/>
        <w:rPr>
          <w:sz w:val="24"/>
        </w:rPr>
      </w:pPr>
      <w:r>
        <w:rPr>
          <w:b/>
          <w:sz w:val="24"/>
        </w:rPr>
        <w:t>FURTHER ENDORSES </w:t>
      </w:r>
      <w:r>
        <w:rPr>
          <w:sz w:val="24"/>
        </w:rPr>
        <w:t>Resolution CM?Res.459, CM/RES. 460, cm/Res. 481 and CM/Res. 482 by which the Council reaffirmed its total and effective support for Egypt, the Arab Frontline States and the Palestinian people;</w:t>
      </w:r>
    </w:p>
    <w:p>
      <w:pPr>
        <w:pStyle w:val="BodyText"/>
        <w:rPr>
          <w:sz w:val="36"/>
        </w:rPr>
      </w:pPr>
    </w:p>
    <w:p>
      <w:pPr>
        <w:pStyle w:val="ListParagraph"/>
        <w:numPr>
          <w:ilvl w:val="0"/>
          <w:numId w:val="1"/>
        </w:numPr>
        <w:tabs>
          <w:tab w:pos="1185" w:val="left" w:leader="none"/>
        </w:tabs>
        <w:spacing w:line="360" w:lineRule="auto" w:before="0" w:after="0"/>
        <w:ind w:left="1184" w:right="122" w:hanging="360"/>
        <w:jc w:val="both"/>
        <w:rPr>
          <w:sz w:val="24"/>
        </w:rPr>
      </w:pPr>
      <w:r>
        <w:rPr>
          <w:b/>
          <w:sz w:val="24"/>
        </w:rPr>
        <w:t>STRONGLY CONDEMNS </w:t>
      </w:r>
      <w:r>
        <w:rPr>
          <w:sz w:val="24"/>
        </w:rPr>
        <w:t>the alliance between Israel and the racist regimes in south Africa, Zimbabwe and INVITES all Member States to be vigilant against the challenges posed by this alliance;</w:t>
      </w:r>
    </w:p>
    <w:p>
      <w:pPr>
        <w:pStyle w:val="BodyText"/>
        <w:rPr>
          <w:sz w:val="36"/>
        </w:rPr>
      </w:pPr>
    </w:p>
    <w:p>
      <w:pPr>
        <w:pStyle w:val="ListParagraph"/>
        <w:numPr>
          <w:ilvl w:val="0"/>
          <w:numId w:val="1"/>
        </w:numPr>
        <w:tabs>
          <w:tab w:pos="1185" w:val="left" w:leader="none"/>
        </w:tabs>
        <w:spacing w:line="360" w:lineRule="auto" w:before="0" w:after="0"/>
        <w:ind w:left="1184" w:right="132" w:hanging="360"/>
        <w:jc w:val="both"/>
        <w:rPr>
          <w:sz w:val="24"/>
        </w:rPr>
      </w:pPr>
      <w:r>
        <w:rPr>
          <w:b/>
          <w:sz w:val="24"/>
        </w:rPr>
        <w:t>REQUESTS </w:t>
      </w:r>
      <w:r>
        <w:rPr>
          <w:sz w:val="24"/>
        </w:rPr>
        <w:t>the</w:t>
      </w:r>
      <w:r>
        <w:rPr>
          <w:spacing w:val="-2"/>
          <w:sz w:val="24"/>
        </w:rPr>
        <w:t> </w:t>
      </w:r>
      <w:r>
        <w:rPr>
          <w:sz w:val="24"/>
        </w:rPr>
        <w:t>Administrative</w:t>
      </w:r>
      <w:r>
        <w:rPr>
          <w:spacing w:val="-2"/>
          <w:sz w:val="24"/>
        </w:rPr>
        <w:t> </w:t>
      </w:r>
      <w:r>
        <w:rPr>
          <w:sz w:val="24"/>
        </w:rPr>
        <w:t>Secretary-General</w:t>
      </w:r>
      <w:r>
        <w:rPr>
          <w:spacing w:val="-1"/>
          <w:sz w:val="24"/>
        </w:rPr>
        <w:t> </w:t>
      </w:r>
      <w:r>
        <w:rPr>
          <w:sz w:val="24"/>
        </w:rPr>
        <w:t>to follow-up</w:t>
      </w:r>
      <w:r>
        <w:rPr>
          <w:spacing w:val="-4"/>
          <w:sz w:val="24"/>
        </w:rPr>
        <w:t> </w:t>
      </w:r>
      <w:r>
        <w:rPr>
          <w:sz w:val="24"/>
        </w:rPr>
        <w:t>the</w:t>
      </w:r>
      <w:r>
        <w:rPr>
          <w:spacing w:val="-4"/>
          <w:sz w:val="24"/>
        </w:rPr>
        <w:t> </w:t>
      </w:r>
      <w:r>
        <w:rPr>
          <w:sz w:val="24"/>
        </w:rPr>
        <w:t>developments</w:t>
      </w:r>
      <w:r>
        <w:rPr>
          <w:spacing w:val="-4"/>
          <w:sz w:val="24"/>
        </w:rPr>
        <w:t> </w:t>
      </w:r>
      <w:r>
        <w:rPr>
          <w:sz w:val="24"/>
        </w:rPr>
        <w:t>on the two questions</w:t>
      </w:r>
      <w:r>
        <w:rPr>
          <w:spacing w:val="-1"/>
          <w:sz w:val="24"/>
        </w:rPr>
        <w:t> </w:t>
      </w:r>
      <w:r>
        <w:rPr>
          <w:sz w:val="24"/>
        </w:rPr>
        <w:t>and</w:t>
      </w:r>
      <w:r>
        <w:rPr>
          <w:spacing w:val="-1"/>
          <w:sz w:val="24"/>
        </w:rPr>
        <w:t> </w:t>
      </w:r>
      <w:r>
        <w:rPr>
          <w:sz w:val="24"/>
        </w:rPr>
        <w:t>present a</w:t>
      </w:r>
      <w:r>
        <w:rPr>
          <w:spacing w:val="-1"/>
          <w:sz w:val="24"/>
        </w:rPr>
        <w:t> </w:t>
      </w:r>
      <w:r>
        <w:rPr>
          <w:sz w:val="24"/>
        </w:rPr>
        <w:t>Report to the</w:t>
      </w:r>
      <w:r>
        <w:rPr>
          <w:spacing w:val="-1"/>
          <w:sz w:val="24"/>
        </w:rPr>
        <w:t> </w:t>
      </w:r>
      <w:r>
        <w:rPr>
          <w:sz w:val="24"/>
        </w:rPr>
        <w:t>Twenty</w:t>
      </w:r>
      <w:r>
        <w:rPr>
          <w:spacing w:val="-1"/>
          <w:sz w:val="24"/>
        </w:rPr>
        <w:t> </w:t>
      </w:r>
      <w:r>
        <w:rPr>
          <w:sz w:val="24"/>
        </w:rPr>
        <w:t>Ninth</w:t>
      </w:r>
      <w:r>
        <w:rPr>
          <w:spacing w:val="-1"/>
          <w:sz w:val="24"/>
        </w:rPr>
        <w:t> </w:t>
      </w:r>
      <w:r>
        <w:rPr>
          <w:sz w:val="24"/>
        </w:rPr>
        <w:t>Session</w:t>
      </w:r>
      <w:r>
        <w:rPr>
          <w:spacing w:val="-1"/>
          <w:sz w:val="24"/>
        </w:rPr>
        <w:t> </w:t>
      </w:r>
      <w:r>
        <w:rPr>
          <w:sz w:val="24"/>
        </w:rPr>
        <w:t>of</w:t>
      </w:r>
      <w:r>
        <w:rPr>
          <w:spacing w:val="-1"/>
          <w:sz w:val="24"/>
        </w:rPr>
        <w:t> </w:t>
      </w:r>
      <w:r>
        <w:rPr>
          <w:sz w:val="24"/>
        </w:rPr>
        <w:t>the</w:t>
      </w:r>
      <w:r>
        <w:rPr>
          <w:spacing w:val="-1"/>
          <w:sz w:val="24"/>
        </w:rPr>
        <w:t> </w:t>
      </w:r>
      <w:r>
        <w:rPr>
          <w:sz w:val="24"/>
        </w:rPr>
        <w:t>Council</w:t>
      </w:r>
      <w:r>
        <w:rPr>
          <w:spacing w:val="-1"/>
          <w:sz w:val="24"/>
        </w:rPr>
        <w:t> </w:t>
      </w:r>
      <w:r>
        <w:rPr>
          <w:sz w:val="24"/>
        </w:rPr>
        <w:t>of </w:t>
      </w:r>
      <w:r>
        <w:rPr>
          <w:spacing w:val="-2"/>
          <w:sz w:val="24"/>
        </w:rPr>
        <w:t>Ministers.</w:t>
      </w:r>
    </w:p>
    <w:sectPr>
      <w:pgSz w:w="12240" w:h="15840"/>
      <w:pgMar w:header="727" w:footer="0" w:top="13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5.959991pt;margin-top:35.346642pt;width:115.1pt;height:15.3pt;mso-position-horizontal-relative:page;mso-position-vertical-relative:page;z-index:-15759872" type="#_x0000_t202" id="docshape1" filled="false" stroked="false">
          <v:textbox inset="0,0,0,0">
            <w:txbxContent>
              <w:p>
                <w:pPr>
                  <w:pStyle w:val="BodyText"/>
                  <w:spacing w:before="10"/>
                  <w:ind w:left="20"/>
                </w:pPr>
                <w:r>
                  <w:rPr/>
                  <w:t>CM/Res.</w:t>
                </w:r>
                <w:r>
                  <w:rPr>
                    <w:spacing w:val="-4"/>
                  </w:rPr>
                  <w:t> </w:t>
                </w:r>
                <w:r>
                  <w:rPr/>
                  <w:t>529</w:t>
                </w:r>
                <w:r>
                  <w:rPr>
                    <w:spacing w:val="-5"/>
                  </w:rPr>
                  <w:t> </w:t>
                </w:r>
                <w:r>
                  <w:rPr>
                    <w:spacing w:val="-2"/>
                  </w:rPr>
                  <w:t>(XXVIII)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0"/>
      <w:ind w:left="4151" w:hanging="358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84" w:right="122"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TWENTY-EIGHTH ORDINARY SESSION OF THE COUNCIL OF MINISTERS</dc:title>
  <dcterms:created xsi:type="dcterms:W3CDTF">2023-06-07T08:51:27Z</dcterms:created>
  <dcterms:modified xsi:type="dcterms:W3CDTF">2023-06-07T08:51:27Z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