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3"/>
          <w:u w:val="single"/>
        </w:rPr>
        <w:t> </w:t>
      </w:r>
      <w:r>
        <w:rPr>
          <w:u w:val="single"/>
        </w:rPr>
        <w:t>ON</w:t>
      </w:r>
      <w:r>
        <w:rPr>
          <w:spacing w:val="-3"/>
          <w:u w:val="single"/>
        </w:rPr>
        <w:t> </w:t>
      </w:r>
      <w:r>
        <w:rPr>
          <w:u w:val="single"/>
        </w:rPr>
        <w:t>A</w:t>
      </w:r>
      <w:r>
        <w:rPr>
          <w:spacing w:val="-3"/>
          <w:u w:val="single"/>
        </w:rPr>
        <w:t> </w:t>
      </w:r>
      <w:r>
        <w:rPr>
          <w:u w:val="single"/>
        </w:rPr>
        <w:t>COMMON</w:t>
      </w:r>
      <w:r>
        <w:rPr>
          <w:spacing w:val="-3"/>
          <w:u w:val="single"/>
        </w:rPr>
        <w:t> </w:t>
      </w:r>
      <w:r>
        <w:rPr>
          <w:u w:val="single"/>
        </w:rPr>
        <w:t>FUND</w:t>
      </w:r>
      <w:r>
        <w:rPr>
          <w:spacing w:val="-3"/>
          <w:u w:val="single"/>
        </w:rPr>
        <w:t> </w:t>
      </w:r>
      <w:r>
        <w:rPr>
          <w:u w:val="single"/>
        </w:rPr>
        <w:t>UNDER</w:t>
      </w:r>
      <w:r>
        <w:rPr>
          <w:spacing w:val="-3"/>
          <w:u w:val="single"/>
        </w:rPr>
        <w:t> </w:t>
      </w:r>
      <w:r>
        <w:rPr>
          <w:u w:val="single"/>
        </w:rPr>
        <w:t>THE</w:t>
      </w:r>
      <w:r>
        <w:rPr>
          <w:u w:val="none"/>
        </w:rPr>
        <w:t> </w:t>
      </w:r>
      <w:r>
        <w:rPr>
          <w:u w:val="single"/>
        </w:rPr>
        <w:t>INTEGRATED</w:t>
      </w:r>
      <w:r>
        <w:rPr>
          <w:spacing w:val="-11"/>
          <w:u w:val="single"/>
        </w:rPr>
        <w:t> </w:t>
      </w:r>
      <w:r>
        <w:rPr>
          <w:u w:val="single"/>
        </w:rPr>
        <w:t>PROGRAMME</w:t>
      </w:r>
      <w:r>
        <w:rPr>
          <w:spacing w:val="-10"/>
          <w:u w:val="single"/>
        </w:rPr>
        <w:t> </w:t>
      </w:r>
      <w:r>
        <w:rPr>
          <w:u w:val="single"/>
        </w:rPr>
        <w:t>FOR</w:t>
      </w:r>
      <w:r>
        <w:rPr>
          <w:spacing w:val="-10"/>
          <w:u w:val="single"/>
        </w:rPr>
        <w:t> </w:t>
      </w:r>
      <w:r>
        <w:rPr>
          <w:spacing w:val="-2"/>
          <w:u w:val="single"/>
        </w:rPr>
        <w:t>COMMODITIES</w:t>
      </w:r>
    </w:p>
    <w:p>
      <w:pPr>
        <w:pStyle w:val="BodyText"/>
        <w:spacing w:before="6"/>
        <w:rPr>
          <w:b/>
          <w:sz w:val="27"/>
        </w:rPr>
      </w:pPr>
    </w:p>
    <w:p>
      <w:pPr>
        <w:pStyle w:val="BodyText"/>
        <w:spacing w:line="362" w:lineRule="auto" w:before="90"/>
        <w:ind w:left="104" w:right="114" w:firstLine="720"/>
        <w:jc w:val="both"/>
      </w:pPr>
      <w:r>
        <w:rPr/>
        <w:t>The Council of Ministers of the Organization of African Unity meeting in its 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7"/>
        <w:rPr>
          <w:sz w:val="35"/>
        </w:rPr>
      </w:pPr>
    </w:p>
    <w:p>
      <w:pPr>
        <w:pStyle w:val="BodyText"/>
        <w:spacing w:line="360" w:lineRule="auto"/>
        <w:ind w:left="104" w:right="130" w:firstLine="720"/>
        <w:jc w:val="both"/>
      </w:pPr>
      <w:r>
        <w:rPr>
          <w:b/>
          <w:u w:val="single"/>
        </w:rPr>
        <w:t>Having examined</w:t>
      </w:r>
      <w:r>
        <w:rPr>
          <w:b/>
        </w:rPr>
        <w:t> </w:t>
      </w:r>
      <w:r>
        <w:rPr/>
        <w:t>the Report of the Administrative Secretary General contained in Document CM/823 (XXIX) on a Common Fund under the Integrated Programme for </w:t>
      </w:r>
      <w:r>
        <w:rPr>
          <w:spacing w:val="-2"/>
        </w:rPr>
        <w:t>Commodities,</w:t>
      </w:r>
    </w:p>
    <w:p>
      <w:pPr>
        <w:pStyle w:val="BodyText"/>
        <w:rPr>
          <w:sz w:val="36"/>
        </w:rPr>
      </w:pPr>
    </w:p>
    <w:p>
      <w:pPr>
        <w:pStyle w:val="BodyText"/>
        <w:spacing w:line="360" w:lineRule="auto"/>
        <w:ind w:left="104" w:right="131" w:firstLine="720"/>
        <w:jc w:val="both"/>
      </w:pPr>
      <w:r>
        <w:rPr>
          <w:b/>
          <w:u w:val="single"/>
        </w:rPr>
        <w:t>Recalling</w:t>
      </w:r>
      <w:r>
        <w:rPr>
          <w:b/>
        </w:rPr>
        <w:t> </w:t>
      </w:r>
      <w:r>
        <w:rPr/>
        <w:t>Resolution 93 (IV) on the Integrated Programme for Commodities adopted by the United Nations Conference on Trade and Development at its Fourth Session, in Nairobi, </w:t>
      </w:r>
      <w:r>
        <w:rPr>
          <w:spacing w:val="-2"/>
        </w:rPr>
        <w:t>Kenya,</w:t>
      </w:r>
    </w:p>
    <w:p>
      <w:pPr>
        <w:pStyle w:val="BodyText"/>
        <w:rPr>
          <w:sz w:val="36"/>
        </w:rPr>
      </w:pPr>
    </w:p>
    <w:p>
      <w:pPr>
        <w:pStyle w:val="BodyText"/>
        <w:spacing w:line="360" w:lineRule="auto"/>
        <w:ind w:left="104" w:right="148" w:firstLine="720"/>
        <w:jc w:val="both"/>
      </w:pPr>
      <w:r>
        <w:rPr>
          <w:b/>
          <w:u w:val="single"/>
        </w:rPr>
        <w:t>Noting with deep disappointment</w:t>
      </w:r>
      <w:r>
        <w:rPr>
          <w:b/>
        </w:rPr>
        <w:t> </w:t>
      </w:r>
      <w:r>
        <w:rPr/>
        <w:t>the failure of the Negotiating Conference in March 1977, in Geneva, and the unsatisfactory outcome of the Conference on International Economic Co-operation in Paris in May/June, 1977,</w:t>
      </w:r>
    </w:p>
    <w:p>
      <w:pPr>
        <w:pStyle w:val="BodyText"/>
        <w:rPr>
          <w:sz w:val="36"/>
        </w:rPr>
      </w:pPr>
    </w:p>
    <w:p>
      <w:pPr>
        <w:pStyle w:val="BodyText"/>
        <w:spacing w:line="360" w:lineRule="auto"/>
        <w:ind w:left="104" w:right="156" w:firstLine="720"/>
        <w:jc w:val="both"/>
      </w:pPr>
      <w:r>
        <w:rPr>
          <w:b/>
          <w:u w:val="single"/>
        </w:rPr>
        <w:t>Bearing in mind</w:t>
      </w:r>
      <w:r>
        <w:rPr>
          <w:b/>
        </w:rPr>
        <w:t> </w:t>
      </w:r>
      <w:r>
        <w:rPr/>
        <w:t>that the establishment of the Common fund under the Integrated Programme for Commodities is of crucial importance to the realization of a New International Economic Order,</w:t>
      </w:r>
    </w:p>
    <w:p>
      <w:pPr>
        <w:pStyle w:val="BodyText"/>
        <w:rPr>
          <w:sz w:val="36"/>
        </w:rPr>
      </w:pPr>
    </w:p>
    <w:p>
      <w:pPr>
        <w:pStyle w:val="ListParagraph"/>
        <w:numPr>
          <w:ilvl w:val="0"/>
          <w:numId w:val="1"/>
        </w:numPr>
        <w:tabs>
          <w:tab w:pos="1185" w:val="left" w:leader="none"/>
        </w:tabs>
        <w:spacing w:line="360" w:lineRule="auto" w:before="0" w:after="0"/>
        <w:ind w:left="1184" w:right="122" w:hanging="361"/>
        <w:jc w:val="both"/>
        <w:rPr>
          <w:sz w:val="24"/>
        </w:rPr>
      </w:pPr>
      <w:r>
        <w:rPr>
          <w:b/>
          <w:sz w:val="24"/>
        </w:rPr>
        <w:t>REAFFIRMS</w:t>
      </w:r>
      <w:r>
        <w:rPr>
          <w:b/>
          <w:spacing w:val="-15"/>
          <w:sz w:val="24"/>
        </w:rPr>
        <w:t> </w:t>
      </w:r>
      <w:r>
        <w:rPr>
          <w:sz w:val="24"/>
        </w:rPr>
        <w:t>its</w:t>
      </w:r>
      <w:r>
        <w:rPr>
          <w:spacing w:val="-2"/>
          <w:sz w:val="24"/>
        </w:rPr>
        <w:t> </w:t>
      </w:r>
      <w:r>
        <w:rPr>
          <w:sz w:val="24"/>
        </w:rPr>
        <w:t>firm commitment to</w:t>
      </w:r>
      <w:r>
        <w:rPr>
          <w:spacing w:val="-1"/>
          <w:sz w:val="24"/>
        </w:rPr>
        <w:t> </w:t>
      </w:r>
      <w:r>
        <w:rPr>
          <w:sz w:val="24"/>
        </w:rPr>
        <w:t>work</w:t>
      </w:r>
      <w:r>
        <w:rPr>
          <w:spacing w:val="-1"/>
          <w:sz w:val="24"/>
        </w:rPr>
        <w:t> </w:t>
      </w:r>
      <w:r>
        <w:rPr>
          <w:sz w:val="24"/>
        </w:rPr>
        <w:t>for the</w:t>
      </w:r>
      <w:r>
        <w:rPr>
          <w:spacing w:val="-1"/>
          <w:sz w:val="24"/>
        </w:rPr>
        <w:t> </w:t>
      </w:r>
      <w:r>
        <w:rPr>
          <w:sz w:val="24"/>
        </w:rPr>
        <w:t>establishment of</w:t>
      </w:r>
      <w:r>
        <w:rPr>
          <w:spacing w:val="-1"/>
          <w:sz w:val="24"/>
        </w:rPr>
        <w:t> </w:t>
      </w:r>
      <w:r>
        <w:rPr>
          <w:sz w:val="24"/>
        </w:rPr>
        <w:t>a Co</w:t>
      </w:r>
      <w:r>
        <w:rPr>
          <w:spacing w:val="-15"/>
          <w:sz w:val="24"/>
        </w:rPr>
        <w:t> </w:t>
      </w:r>
      <w:r>
        <w:rPr>
          <w:sz w:val="24"/>
        </w:rPr>
        <w:t>mmon</w:t>
      </w:r>
      <w:r>
        <w:rPr>
          <w:spacing w:val="-6"/>
          <w:sz w:val="24"/>
        </w:rPr>
        <w:t> </w:t>
      </w:r>
      <w:r>
        <w:rPr>
          <w:sz w:val="24"/>
        </w:rPr>
        <w:t>fund and to the implementation of the Integrated Programme for Commodities;</w:t>
      </w:r>
    </w:p>
    <w:p>
      <w:pPr>
        <w:pStyle w:val="BodyText"/>
        <w:spacing w:before="1"/>
        <w:rPr>
          <w:sz w:val="36"/>
        </w:rPr>
      </w:pPr>
    </w:p>
    <w:p>
      <w:pPr>
        <w:pStyle w:val="ListParagraph"/>
        <w:numPr>
          <w:ilvl w:val="0"/>
          <w:numId w:val="1"/>
        </w:numPr>
        <w:tabs>
          <w:tab w:pos="1185" w:val="left" w:leader="none"/>
        </w:tabs>
        <w:spacing w:line="360" w:lineRule="auto" w:before="1" w:after="0"/>
        <w:ind w:left="1184" w:right="156" w:hanging="360"/>
        <w:jc w:val="both"/>
        <w:rPr>
          <w:sz w:val="24"/>
        </w:rPr>
      </w:pPr>
      <w:r>
        <w:rPr>
          <w:b/>
          <w:sz w:val="24"/>
        </w:rPr>
        <w:t>CALLS UPON </w:t>
      </w:r>
      <w:r>
        <w:rPr>
          <w:sz w:val="24"/>
        </w:rPr>
        <w:t>Member States, in collaboration with the other States member of the Group</w:t>
      </w:r>
      <w:r>
        <w:rPr>
          <w:spacing w:val="-4"/>
          <w:sz w:val="24"/>
        </w:rPr>
        <w:t> </w:t>
      </w:r>
      <w:r>
        <w:rPr>
          <w:sz w:val="24"/>
        </w:rPr>
        <w:t>of</w:t>
      </w:r>
      <w:r>
        <w:rPr>
          <w:spacing w:val="-4"/>
          <w:sz w:val="24"/>
        </w:rPr>
        <w:t> </w:t>
      </w:r>
      <w:r>
        <w:rPr>
          <w:sz w:val="24"/>
        </w:rPr>
        <w:t>77,</w:t>
      </w:r>
      <w:r>
        <w:rPr>
          <w:spacing w:val="-2"/>
          <w:sz w:val="24"/>
        </w:rPr>
        <w:t> </w:t>
      </w:r>
      <w:r>
        <w:rPr>
          <w:sz w:val="24"/>
        </w:rPr>
        <w:t>to</w:t>
      </w:r>
      <w:r>
        <w:rPr>
          <w:spacing w:val="-4"/>
          <w:sz w:val="24"/>
        </w:rPr>
        <w:t> </w:t>
      </w:r>
      <w:r>
        <w:rPr>
          <w:sz w:val="24"/>
        </w:rPr>
        <w:t>press</w:t>
      </w:r>
      <w:r>
        <w:rPr>
          <w:spacing w:val="-4"/>
          <w:sz w:val="24"/>
        </w:rPr>
        <w:t> </w:t>
      </w:r>
      <w:r>
        <w:rPr>
          <w:sz w:val="24"/>
        </w:rPr>
        <w:t>for</w:t>
      </w:r>
      <w:r>
        <w:rPr>
          <w:spacing w:val="-1"/>
          <w:sz w:val="24"/>
        </w:rPr>
        <w:t> </w:t>
      </w:r>
      <w:r>
        <w:rPr>
          <w:sz w:val="24"/>
        </w:rPr>
        <w:t>the</w:t>
      </w:r>
      <w:r>
        <w:rPr>
          <w:spacing w:val="-4"/>
          <w:sz w:val="24"/>
        </w:rPr>
        <w:t> </w:t>
      </w:r>
      <w:r>
        <w:rPr>
          <w:sz w:val="24"/>
        </w:rPr>
        <w:t>establishment</w:t>
      </w:r>
      <w:r>
        <w:rPr>
          <w:spacing w:val="-3"/>
          <w:sz w:val="24"/>
        </w:rPr>
        <w:t> </w:t>
      </w:r>
      <w:r>
        <w:rPr>
          <w:sz w:val="24"/>
        </w:rPr>
        <w:t>of</w:t>
      </w:r>
      <w:r>
        <w:rPr>
          <w:spacing w:val="-4"/>
          <w:sz w:val="24"/>
        </w:rPr>
        <w:t> </w:t>
      </w:r>
      <w:r>
        <w:rPr>
          <w:sz w:val="24"/>
        </w:rPr>
        <w:t>a</w:t>
      </w:r>
      <w:r>
        <w:rPr>
          <w:spacing w:val="-3"/>
          <w:sz w:val="24"/>
        </w:rPr>
        <w:t> </w:t>
      </w:r>
      <w:r>
        <w:rPr>
          <w:sz w:val="24"/>
        </w:rPr>
        <w:t>Common</w:t>
      </w:r>
      <w:r>
        <w:rPr>
          <w:spacing w:val="-2"/>
          <w:sz w:val="24"/>
        </w:rPr>
        <w:t> </w:t>
      </w:r>
      <w:r>
        <w:rPr>
          <w:sz w:val="24"/>
        </w:rPr>
        <w:t>Fund</w:t>
      </w:r>
      <w:r>
        <w:rPr>
          <w:spacing w:val="-4"/>
          <w:sz w:val="24"/>
        </w:rPr>
        <w:t> </w:t>
      </w:r>
      <w:r>
        <w:rPr>
          <w:sz w:val="24"/>
        </w:rPr>
        <w:t>as</w:t>
      </w:r>
      <w:r>
        <w:rPr>
          <w:spacing w:val="-4"/>
          <w:sz w:val="24"/>
        </w:rPr>
        <w:t> </w:t>
      </w:r>
      <w:r>
        <w:rPr>
          <w:sz w:val="24"/>
        </w:rPr>
        <w:t>an</w:t>
      </w:r>
      <w:r>
        <w:rPr>
          <w:spacing w:val="-2"/>
          <w:sz w:val="24"/>
        </w:rPr>
        <w:t> </w:t>
      </w:r>
      <w:r>
        <w:rPr>
          <w:sz w:val="24"/>
        </w:rPr>
        <w:t>outonomous</w:t>
      </w:r>
      <w:r>
        <w:rPr>
          <w:spacing w:val="-4"/>
          <w:sz w:val="24"/>
        </w:rPr>
        <w:t> </w:t>
      </w:r>
      <w:r>
        <w:rPr>
          <w:sz w:val="24"/>
        </w:rPr>
        <w:t>and key source of finance</w:t>
      </w:r>
      <w:r>
        <w:rPr>
          <w:spacing w:val="-4"/>
          <w:sz w:val="24"/>
        </w:rPr>
        <w:t> </w:t>
      </w:r>
      <w:r>
        <w:rPr>
          <w:sz w:val="24"/>
        </w:rPr>
        <w:t>for</w:t>
      </w:r>
      <w:r>
        <w:rPr>
          <w:spacing w:val="-1"/>
          <w:sz w:val="24"/>
        </w:rPr>
        <w:t> </w:t>
      </w:r>
      <w:r>
        <w:rPr>
          <w:sz w:val="24"/>
        </w:rPr>
        <w:t>stabilizing</w:t>
      </w:r>
      <w:r>
        <w:rPr>
          <w:spacing w:val="-4"/>
          <w:sz w:val="24"/>
        </w:rPr>
        <w:t> </w:t>
      </w:r>
      <w:r>
        <w:rPr>
          <w:sz w:val="24"/>
        </w:rPr>
        <w:t>commodity</w:t>
      </w:r>
      <w:r>
        <w:rPr>
          <w:spacing w:val="-4"/>
          <w:sz w:val="24"/>
        </w:rPr>
        <w:t> </w:t>
      </w:r>
      <w:r>
        <w:rPr>
          <w:sz w:val="24"/>
        </w:rPr>
        <w:t>prices</w:t>
      </w:r>
      <w:r>
        <w:rPr>
          <w:spacing w:val="-4"/>
          <w:sz w:val="24"/>
        </w:rPr>
        <w:t> </w:t>
      </w:r>
      <w:r>
        <w:rPr>
          <w:sz w:val="24"/>
        </w:rPr>
        <w:t>and</w:t>
      </w:r>
      <w:r>
        <w:rPr>
          <w:spacing w:val="-4"/>
          <w:sz w:val="24"/>
        </w:rPr>
        <w:t> </w:t>
      </w:r>
      <w:r>
        <w:rPr>
          <w:sz w:val="24"/>
        </w:rPr>
        <w:t>markets;</w:t>
      </w:r>
    </w:p>
    <w:p>
      <w:pPr>
        <w:pStyle w:val="BodyText"/>
        <w:rPr>
          <w:sz w:val="36"/>
        </w:rPr>
      </w:pPr>
    </w:p>
    <w:p>
      <w:pPr>
        <w:pStyle w:val="ListParagraph"/>
        <w:numPr>
          <w:ilvl w:val="0"/>
          <w:numId w:val="1"/>
        </w:numPr>
        <w:tabs>
          <w:tab w:pos="1185" w:val="left" w:leader="none"/>
        </w:tabs>
        <w:spacing w:line="360" w:lineRule="auto" w:before="0" w:after="0"/>
        <w:ind w:left="1184" w:right="132" w:hanging="360"/>
        <w:jc w:val="both"/>
        <w:rPr>
          <w:sz w:val="24"/>
        </w:rPr>
      </w:pPr>
      <w:r>
        <w:rPr>
          <w:b/>
          <w:sz w:val="24"/>
        </w:rPr>
        <w:t>URGES OAU </w:t>
      </w:r>
      <w:r>
        <w:rPr>
          <w:sz w:val="24"/>
        </w:rPr>
        <w:t>Member States to work relentlessly with the other members of Group of 77 to ensure that a Common Fund is established and serves as the main instrument for attaining the objectives of the Integrated Programme for Commodities as embodied in Resolution 93 (IV) of the Fourth Session of UNCTAD;</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ListParagraph"/>
        <w:numPr>
          <w:ilvl w:val="0"/>
          <w:numId w:val="1"/>
        </w:numPr>
        <w:tabs>
          <w:tab w:pos="1185" w:val="left" w:leader="none"/>
        </w:tabs>
        <w:spacing w:line="360" w:lineRule="auto" w:before="80" w:after="0"/>
        <w:ind w:left="1184" w:right="128" w:hanging="360"/>
        <w:jc w:val="both"/>
        <w:rPr>
          <w:sz w:val="24"/>
        </w:rPr>
      </w:pPr>
      <w:r>
        <w:rPr>
          <w:b/>
          <w:sz w:val="24"/>
        </w:rPr>
        <w:t>REQUESTS</w:t>
      </w:r>
      <w:r>
        <w:rPr>
          <w:b/>
          <w:spacing w:val="40"/>
          <w:sz w:val="24"/>
        </w:rPr>
        <w:t> </w:t>
      </w:r>
      <w:r>
        <w:rPr>
          <w:sz w:val="24"/>
        </w:rPr>
        <w:t>the Administrative Secretary General to convene before the United Nations Negotiating Conference on a Common Fund resumes in November 1977 a meeting</w:t>
      </w:r>
      <w:r>
        <w:rPr>
          <w:spacing w:val="-15"/>
          <w:sz w:val="24"/>
        </w:rPr>
        <w:t> </w:t>
      </w:r>
      <w:r>
        <w:rPr>
          <w:sz w:val="24"/>
        </w:rPr>
        <w:t>high</w:t>
      </w:r>
      <w:r>
        <w:rPr>
          <w:spacing w:val="-13"/>
          <w:sz w:val="24"/>
        </w:rPr>
        <w:t> </w:t>
      </w:r>
      <w:r>
        <w:rPr>
          <w:sz w:val="24"/>
        </w:rPr>
        <w:t>officials</w:t>
      </w:r>
      <w:r>
        <w:rPr>
          <w:spacing w:val="-5"/>
          <w:sz w:val="24"/>
        </w:rPr>
        <w:t> </w:t>
      </w:r>
      <w:r>
        <w:rPr>
          <w:sz w:val="24"/>
        </w:rPr>
        <w:t>from</w:t>
      </w:r>
      <w:r>
        <w:rPr>
          <w:spacing w:val="-4"/>
          <w:sz w:val="24"/>
        </w:rPr>
        <w:t> </w:t>
      </w:r>
      <w:r>
        <w:rPr>
          <w:sz w:val="24"/>
        </w:rPr>
        <w:t>the</w:t>
      </w:r>
      <w:r>
        <w:rPr>
          <w:spacing w:val="-5"/>
          <w:sz w:val="24"/>
        </w:rPr>
        <w:t> </w:t>
      </w:r>
      <w:r>
        <w:rPr>
          <w:sz w:val="24"/>
        </w:rPr>
        <w:t>OAU</w:t>
      </w:r>
      <w:r>
        <w:rPr>
          <w:spacing w:val="-5"/>
          <w:sz w:val="24"/>
        </w:rPr>
        <w:t> </w:t>
      </w:r>
      <w:r>
        <w:rPr>
          <w:sz w:val="24"/>
        </w:rPr>
        <w:t>Member</w:t>
      </w:r>
      <w:r>
        <w:rPr>
          <w:spacing w:val="-2"/>
          <w:sz w:val="24"/>
        </w:rPr>
        <w:t> </w:t>
      </w:r>
      <w:r>
        <w:rPr>
          <w:sz w:val="24"/>
        </w:rPr>
        <w:t>States</w:t>
      </w:r>
      <w:r>
        <w:rPr>
          <w:spacing w:val="-5"/>
          <w:sz w:val="24"/>
        </w:rPr>
        <w:t> </w:t>
      </w:r>
      <w:r>
        <w:rPr>
          <w:sz w:val="24"/>
        </w:rPr>
        <w:t>with</w:t>
      </w:r>
      <w:r>
        <w:rPr>
          <w:spacing w:val="-2"/>
          <w:sz w:val="24"/>
        </w:rPr>
        <w:t> </w:t>
      </w:r>
      <w:r>
        <w:rPr>
          <w:sz w:val="24"/>
        </w:rPr>
        <w:t>a</w:t>
      </w:r>
      <w:r>
        <w:rPr>
          <w:spacing w:val="-4"/>
          <w:sz w:val="24"/>
        </w:rPr>
        <w:t> </w:t>
      </w:r>
      <w:r>
        <w:rPr>
          <w:sz w:val="24"/>
        </w:rPr>
        <w:t>view</w:t>
      </w:r>
      <w:r>
        <w:rPr>
          <w:spacing w:val="-5"/>
          <w:sz w:val="24"/>
        </w:rPr>
        <w:t> </w:t>
      </w:r>
      <w:r>
        <w:rPr>
          <w:sz w:val="24"/>
        </w:rPr>
        <w:t>to</w:t>
      </w:r>
      <w:r>
        <w:rPr>
          <w:spacing w:val="-5"/>
          <w:sz w:val="24"/>
        </w:rPr>
        <w:t> </w:t>
      </w:r>
      <w:r>
        <w:rPr>
          <w:sz w:val="24"/>
        </w:rPr>
        <w:t>co</w:t>
      </w:r>
      <w:r>
        <w:rPr>
          <w:spacing w:val="-15"/>
          <w:sz w:val="24"/>
        </w:rPr>
        <w:t> </w:t>
      </w:r>
      <w:r>
        <w:rPr>
          <w:sz w:val="24"/>
        </w:rPr>
        <w:t>-ordinating</w:t>
      </w:r>
      <w:r>
        <w:rPr>
          <w:spacing w:val="-11"/>
          <w:sz w:val="24"/>
        </w:rPr>
        <w:t> </w:t>
      </w:r>
      <w:r>
        <w:rPr>
          <w:sz w:val="24"/>
        </w:rPr>
        <w:t>and harmonising the technical, economic and policy positions of the Member States on</w:t>
      </w:r>
      <w:r>
        <w:rPr>
          <w:spacing w:val="40"/>
          <w:sz w:val="24"/>
        </w:rPr>
        <w:t> </w:t>
      </w:r>
      <w:r>
        <w:rPr>
          <w:sz w:val="24"/>
        </w:rPr>
        <w:t>the common fund;</w:t>
      </w:r>
    </w:p>
    <w:p>
      <w:pPr>
        <w:pStyle w:val="BodyText"/>
        <w:spacing w:before="9"/>
        <w:rPr>
          <w:sz w:val="35"/>
        </w:rPr>
      </w:pPr>
    </w:p>
    <w:p>
      <w:pPr>
        <w:pStyle w:val="ListParagraph"/>
        <w:numPr>
          <w:ilvl w:val="0"/>
          <w:numId w:val="1"/>
        </w:numPr>
        <w:tabs>
          <w:tab w:pos="1185" w:val="left" w:leader="none"/>
        </w:tabs>
        <w:spacing w:line="360" w:lineRule="auto" w:before="0" w:after="0"/>
        <w:ind w:left="1184" w:right="147" w:hanging="360"/>
        <w:jc w:val="both"/>
        <w:rPr>
          <w:sz w:val="24"/>
        </w:rPr>
      </w:pPr>
      <w:r>
        <w:rPr>
          <w:b/>
          <w:sz w:val="24"/>
        </w:rPr>
        <w:t>APPEALS </w:t>
      </w:r>
      <w:r>
        <w:rPr>
          <w:sz w:val="24"/>
        </w:rPr>
        <w:t>to these OAU Member States that have not yet done so to consider establishing permanent delegation in order to strengthen the African Bargaining position in Geneva vis-à-vis other groups;</w:t>
      </w:r>
    </w:p>
    <w:p>
      <w:pPr>
        <w:pStyle w:val="BodyText"/>
        <w:rPr>
          <w:sz w:val="36"/>
        </w:rPr>
      </w:pPr>
    </w:p>
    <w:p>
      <w:pPr>
        <w:pStyle w:val="ListParagraph"/>
        <w:numPr>
          <w:ilvl w:val="0"/>
          <w:numId w:val="1"/>
        </w:numPr>
        <w:tabs>
          <w:tab w:pos="1185" w:val="left" w:leader="none"/>
        </w:tabs>
        <w:spacing w:line="360" w:lineRule="auto" w:before="0" w:after="0"/>
        <w:ind w:left="1184" w:right="134" w:hanging="360"/>
        <w:jc w:val="both"/>
        <w:rPr>
          <w:sz w:val="24"/>
        </w:rPr>
      </w:pPr>
      <w:r>
        <w:rPr>
          <w:b/>
          <w:sz w:val="24"/>
        </w:rPr>
        <w:t>ALSO APPEALS </w:t>
      </w:r>
      <w:r>
        <w:rPr>
          <w:sz w:val="24"/>
        </w:rPr>
        <w:t>to the developed countries to honour their recent declarations of support</w:t>
      </w:r>
      <w:r>
        <w:rPr>
          <w:spacing w:val="-15"/>
          <w:sz w:val="24"/>
        </w:rPr>
        <w:t> </w:t>
      </w:r>
      <w:r>
        <w:rPr>
          <w:sz w:val="24"/>
        </w:rPr>
        <w:t>for</w:t>
      </w:r>
      <w:r>
        <w:rPr>
          <w:spacing w:val="-15"/>
          <w:sz w:val="24"/>
        </w:rPr>
        <w:t> </w:t>
      </w:r>
      <w:r>
        <w:rPr>
          <w:sz w:val="24"/>
        </w:rPr>
        <w:t>the</w:t>
      </w:r>
      <w:r>
        <w:rPr>
          <w:spacing w:val="-4"/>
          <w:sz w:val="24"/>
        </w:rPr>
        <w:t> </w:t>
      </w:r>
      <w:r>
        <w:rPr>
          <w:sz w:val="24"/>
        </w:rPr>
        <w:t>establishment</w:t>
      </w:r>
      <w:r>
        <w:rPr>
          <w:spacing w:val="-5"/>
          <w:sz w:val="24"/>
        </w:rPr>
        <w:t> </w:t>
      </w:r>
      <w:r>
        <w:rPr>
          <w:sz w:val="24"/>
        </w:rPr>
        <w:t>of</w:t>
      </w:r>
      <w:r>
        <w:rPr>
          <w:spacing w:val="-5"/>
          <w:sz w:val="24"/>
        </w:rPr>
        <w:t> </w:t>
      </w:r>
      <w:r>
        <w:rPr>
          <w:sz w:val="24"/>
        </w:rPr>
        <w:t>the</w:t>
      </w:r>
      <w:r>
        <w:rPr>
          <w:spacing w:val="-5"/>
          <w:sz w:val="24"/>
        </w:rPr>
        <w:t> </w:t>
      </w:r>
      <w:r>
        <w:rPr>
          <w:sz w:val="24"/>
        </w:rPr>
        <w:t>Common</w:t>
      </w:r>
      <w:r>
        <w:rPr>
          <w:spacing w:val="-3"/>
          <w:sz w:val="24"/>
        </w:rPr>
        <w:t> </w:t>
      </w:r>
      <w:r>
        <w:rPr>
          <w:sz w:val="24"/>
        </w:rPr>
        <w:t>Fund</w:t>
      </w:r>
      <w:r>
        <w:rPr>
          <w:spacing w:val="-5"/>
          <w:sz w:val="24"/>
        </w:rPr>
        <w:t> </w:t>
      </w:r>
      <w:r>
        <w:rPr>
          <w:sz w:val="24"/>
        </w:rPr>
        <w:t>by</w:t>
      </w:r>
      <w:r>
        <w:rPr>
          <w:spacing w:val="-5"/>
          <w:sz w:val="24"/>
        </w:rPr>
        <w:t> </w:t>
      </w:r>
      <w:r>
        <w:rPr>
          <w:sz w:val="24"/>
        </w:rPr>
        <w:t>co</w:t>
      </w:r>
      <w:r>
        <w:rPr>
          <w:spacing w:val="-15"/>
          <w:sz w:val="24"/>
        </w:rPr>
        <w:t> </w:t>
      </w:r>
      <w:r>
        <w:rPr>
          <w:sz w:val="24"/>
        </w:rPr>
        <w:t>-operating</w:t>
      </w:r>
      <w:r>
        <w:rPr>
          <w:spacing w:val="-7"/>
          <w:sz w:val="24"/>
        </w:rPr>
        <w:t> </w:t>
      </w:r>
      <w:r>
        <w:rPr>
          <w:sz w:val="24"/>
        </w:rPr>
        <w:t>with</w:t>
      </w:r>
      <w:r>
        <w:rPr>
          <w:spacing w:val="-4"/>
          <w:sz w:val="24"/>
        </w:rPr>
        <w:t> </w:t>
      </w:r>
      <w:r>
        <w:rPr>
          <w:sz w:val="24"/>
        </w:rPr>
        <w:t>the</w:t>
      </w:r>
      <w:r>
        <w:rPr>
          <w:spacing w:val="-7"/>
          <w:sz w:val="24"/>
        </w:rPr>
        <w:t> </w:t>
      </w:r>
      <w:r>
        <w:rPr>
          <w:sz w:val="24"/>
        </w:rPr>
        <w:t>Group</w:t>
      </w:r>
      <w:r>
        <w:rPr>
          <w:spacing w:val="-7"/>
          <w:sz w:val="24"/>
        </w:rPr>
        <w:t> </w:t>
      </w:r>
      <w:r>
        <w:rPr>
          <w:sz w:val="24"/>
        </w:rPr>
        <w:t>of 77 in taking practical steps to bring a common Fund into being.</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57312" type="#_x0000_t202" id="docshape1" filled="false" stroked="false">
          <v:textbox inset="0,0,0,0">
            <w:txbxContent>
              <w:p>
                <w:pPr>
                  <w:pStyle w:val="BodyText"/>
                  <w:spacing w:before="10"/>
                  <w:ind w:left="20"/>
                </w:pPr>
                <w:r>
                  <w:rPr/>
                  <w:t>CM/Res.</w:t>
                </w:r>
                <w:r>
                  <w:rPr>
                    <w:spacing w:val="-13"/>
                  </w:rPr>
                  <w:t> </w:t>
                </w:r>
                <w:r>
                  <w:rPr>
                    <w:spacing w:val="-2"/>
                  </w:rPr>
                  <w:t>559(XXIX)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1900" w:right="377" w:firstLine="33"/>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2023-06-07T08:52:52Z</dcterms:created>
  <dcterms:modified xsi:type="dcterms:W3CDTF">2023-06-07T08:52:52Z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