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3"/>
        <w:jc w:val="right"/>
      </w:pPr>
      <w:r>
        <w:rPr/>
        <w:t>CM/Res.</w:t>
      </w:r>
      <w:r>
        <w:rPr>
          <w:spacing w:val="-13"/>
        </w:rPr>
        <w:t> </w:t>
      </w:r>
      <w:r>
        <w:rPr>
          <w:spacing w:val="-2"/>
        </w:rPr>
        <w:t>565(XXIX)</w:t>
      </w:r>
    </w:p>
    <w:p>
      <w:pPr>
        <w:pStyle w:val="BodyText"/>
        <w:spacing w:before="6"/>
        <w:rPr>
          <w:sz w:val="36"/>
        </w:rPr>
      </w:pPr>
    </w:p>
    <w:p>
      <w:pPr>
        <w:pStyle w:val="Title"/>
        <w:spacing w:line="360" w:lineRule="auto"/>
        <w:rPr>
          <w:u w:val="none"/>
        </w:rPr>
      </w:pPr>
      <w:r>
        <w:rPr>
          <w:u w:val="single"/>
        </w:rPr>
        <w:t>RESOLUTION</w:t>
      </w:r>
      <w:r>
        <w:rPr>
          <w:spacing w:val="-12"/>
          <w:u w:val="single"/>
        </w:rPr>
        <w:t> </w:t>
      </w:r>
      <w:r>
        <w:rPr>
          <w:u w:val="single"/>
        </w:rPr>
        <w:t>ON</w:t>
      </w:r>
      <w:r>
        <w:rPr>
          <w:spacing w:val="-12"/>
          <w:u w:val="single"/>
        </w:rPr>
        <w:t> </w:t>
      </w:r>
      <w:r>
        <w:rPr>
          <w:u w:val="single"/>
        </w:rPr>
        <w:t>THE</w:t>
      </w:r>
      <w:r>
        <w:rPr>
          <w:spacing w:val="-12"/>
          <w:u w:val="single"/>
        </w:rPr>
        <w:t> </w:t>
      </w:r>
      <w:r>
        <w:rPr>
          <w:u w:val="single"/>
        </w:rPr>
        <w:t>SECOND</w:t>
      </w:r>
      <w:r>
        <w:rPr>
          <w:spacing w:val="-12"/>
          <w:u w:val="single"/>
        </w:rPr>
        <w:t> </w:t>
      </w:r>
      <w:r>
        <w:rPr>
          <w:u w:val="single"/>
        </w:rPr>
        <w:t>CONFERENCE</w:t>
      </w:r>
      <w:r>
        <w:rPr>
          <w:spacing w:val="-12"/>
          <w:u w:val="single"/>
        </w:rPr>
        <w:t> </w:t>
      </w:r>
      <w:r>
        <w:rPr>
          <w:u w:val="single"/>
        </w:rPr>
        <w:t>OF</w:t>
      </w:r>
      <w:r>
        <w:rPr>
          <w:spacing w:val="-10"/>
          <w:u w:val="single"/>
        </w:rPr>
        <w:t> </w:t>
      </w:r>
      <w:r>
        <w:rPr>
          <w:u w:val="single"/>
        </w:rPr>
        <w:t>AFRICAN</w:t>
      </w:r>
      <w:r>
        <w:rPr>
          <w:u w:val="none"/>
        </w:rPr>
        <w:t> </w:t>
      </w:r>
      <w:r>
        <w:rPr>
          <w:u w:val="single"/>
        </w:rPr>
        <w:t>MINISTERS OF SOCIAL AFFAIRS</w:t>
      </w:r>
    </w:p>
    <w:p>
      <w:pPr>
        <w:pStyle w:val="BodyText"/>
        <w:spacing w:before="6"/>
        <w:rPr>
          <w:b/>
          <w:sz w:val="27"/>
        </w:rPr>
      </w:pPr>
    </w:p>
    <w:p>
      <w:pPr>
        <w:pStyle w:val="BodyText"/>
        <w:spacing w:line="362" w:lineRule="auto" w:before="90"/>
        <w:ind w:left="104" w:firstLine="720"/>
      </w:pPr>
      <w:r>
        <w:rPr/>
        <w:t>The</w:t>
      </w:r>
      <w:r>
        <w:rPr>
          <w:spacing w:val="22"/>
        </w:rPr>
        <w:t> </w:t>
      </w:r>
      <w:r>
        <w:rPr/>
        <w:t>Council</w:t>
      </w:r>
      <w:r>
        <w:rPr>
          <w:spacing w:val="24"/>
        </w:rPr>
        <w:t> </w:t>
      </w:r>
      <w:r>
        <w:rPr/>
        <w:t>of</w:t>
      </w:r>
      <w:r>
        <w:rPr>
          <w:spacing w:val="23"/>
        </w:rPr>
        <w:t> </w:t>
      </w:r>
      <w:r>
        <w:rPr/>
        <w:t>Ministers</w:t>
      </w:r>
      <w:r>
        <w:rPr>
          <w:spacing w:val="23"/>
        </w:rPr>
        <w:t> </w:t>
      </w:r>
      <w:r>
        <w:rPr/>
        <w:t>of</w:t>
      </w:r>
      <w:r>
        <w:rPr>
          <w:spacing w:val="23"/>
        </w:rPr>
        <w:t> </w:t>
      </w:r>
      <w:r>
        <w:rPr/>
        <w:t>the</w:t>
      </w:r>
      <w:r>
        <w:rPr>
          <w:spacing w:val="23"/>
        </w:rPr>
        <w:t> </w:t>
      </w:r>
      <w:r>
        <w:rPr/>
        <w:t>Organization</w:t>
      </w:r>
      <w:r>
        <w:rPr>
          <w:spacing w:val="25"/>
        </w:rPr>
        <w:t> </w:t>
      </w:r>
      <w:r>
        <w:rPr/>
        <w:t>of</w:t>
      </w:r>
      <w:r>
        <w:rPr>
          <w:spacing w:val="23"/>
        </w:rPr>
        <w:t> </w:t>
      </w:r>
      <w:r>
        <w:rPr/>
        <w:t>African</w:t>
      </w:r>
      <w:r>
        <w:rPr>
          <w:spacing w:val="25"/>
        </w:rPr>
        <w:t> </w:t>
      </w:r>
      <w:r>
        <w:rPr/>
        <w:t>Unity</w:t>
      </w:r>
      <w:r>
        <w:rPr>
          <w:spacing w:val="23"/>
        </w:rPr>
        <w:t> </w:t>
      </w:r>
      <w:r>
        <w:rPr/>
        <w:t>meeting</w:t>
      </w:r>
      <w:r>
        <w:rPr>
          <w:spacing w:val="23"/>
        </w:rPr>
        <w:t> </w:t>
      </w:r>
      <w:r>
        <w:rPr/>
        <w:t>in</w:t>
      </w:r>
      <w:r>
        <w:rPr>
          <w:spacing w:val="26"/>
        </w:rPr>
        <w:t> </w:t>
      </w:r>
      <w:r>
        <w:rPr/>
        <w:t>its</w:t>
      </w:r>
      <w:r>
        <w:rPr>
          <w:spacing w:val="23"/>
        </w:rPr>
        <w:t> </w:t>
      </w:r>
      <w:r>
        <w:rPr/>
        <w:t>Twenty</w:t>
      </w:r>
      <w:r>
        <w:rPr>
          <w:spacing w:val="-15"/>
        </w:rPr>
        <w:t> </w:t>
      </w:r>
      <w:r>
        <w:rPr/>
        <w:t>- 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7"/>
        <w:rPr>
          <w:sz w:val="35"/>
        </w:rPr>
      </w:pPr>
    </w:p>
    <w:p>
      <w:pPr>
        <w:spacing w:before="0"/>
        <w:ind w:left="824" w:right="0" w:firstLine="0"/>
        <w:jc w:val="left"/>
        <w:rPr>
          <w:sz w:val="24"/>
        </w:rPr>
      </w:pPr>
      <w:r>
        <w:rPr>
          <w:b/>
          <w:sz w:val="24"/>
          <w:u w:val="single"/>
        </w:rPr>
        <w:t>Recalling</w:t>
      </w:r>
      <w:r>
        <w:rPr>
          <w:b/>
          <w:spacing w:val="-10"/>
          <w:sz w:val="24"/>
        </w:rPr>
        <w:t> </w:t>
      </w:r>
      <w:r>
        <w:rPr>
          <w:sz w:val="24"/>
        </w:rPr>
        <w:t>its</w:t>
      </w:r>
      <w:r>
        <w:rPr>
          <w:spacing w:val="-10"/>
          <w:sz w:val="24"/>
        </w:rPr>
        <w:t> </w:t>
      </w:r>
      <w:r>
        <w:rPr>
          <w:sz w:val="24"/>
        </w:rPr>
        <w:t>resolution</w:t>
      </w:r>
      <w:r>
        <w:rPr>
          <w:spacing w:val="-7"/>
          <w:sz w:val="24"/>
        </w:rPr>
        <w:t> </w:t>
      </w:r>
      <w:r>
        <w:rPr>
          <w:sz w:val="24"/>
        </w:rPr>
        <w:t>CM/502</w:t>
      </w:r>
      <w:r>
        <w:rPr>
          <w:spacing w:val="-10"/>
          <w:sz w:val="24"/>
        </w:rPr>
        <w:t> </w:t>
      </w:r>
      <w:r>
        <w:rPr>
          <w:spacing w:val="-2"/>
          <w:sz w:val="24"/>
        </w:rPr>
        <w:t>(XXVIII),</w:t>
      </w:r>
    </w:p>
    <w:p>
      <w:pPr>
        <w:pStyle w:val="BodyText"/>
        <w:rPr>
          <w:sz w:val="26"/>
        </w:rPr>
      </w:pPr>
    </w:p>
    <w:p>
      <w:pPr>
        <w:pStyle w:val="BodyText"/>
        <w:spacing w:before="2"/>
        <w:rPr>
          <w:sz w:val="22"/>
        </w:rPr>
      </w:pPr>
    </w:p>
    <w:p>
      <w:pPr>
        <w:pStyle w:val="BodyText"/>
        <w:spacing w:line="360" w:lineRule="auto"/>
        <w:ind w:left="104" w:right="57" w:firstLine="720"/>
      </w:pPr>
      <w:r>
        <w:rPr>
          <w:b/>
          <w:u w:val="single"/>
        </w:rPr>
        <w:t>Having</w:t>
      </w:r>
      <w:r>
        <w:rPr>
          <w:b/>
          <w:spacing w:val="29"/>
        </w:rPr>
        <w:t> </w:t>
      </w:r>
      <w:r>
        <w:rPr/>
        <w:t>carefully</w:t>
      </w:r>
      <w:r>
        <w:rPr>
          <w:spacing w:val="26"/>
        </w:rPr>
        <w:t> </w:t>
      </w:r>
      <w:r>
        <w:rPr/>
        <w:t>examined</w:t>
      </w:r>
      <w:r>
        <w:rPr>
          <w:spacing w:val="35"/>
        </w:rPr>
        <w:t> </w:t>
      </w:r>
      <w:r>
        <w:rPr/>
        <w:t>documents</w:t>
      </w:r>
      <w:r>
        <w:rPr>
          <w:spacing w:val="30"/>
        </w:rPr>
        <w:t> </w:t>
      </w:r>
      <w:r>
        <w:rPr/>
        <w:t>CM/822</w:t>
      </w:r>
      <w:r>
        <w:rPr>
          <w:spacing w:val="30"/>
        </w:rPr>
        <w:t> </w:t>
      </w:r>
      <w:r>
        <w:rPr/>
        <w:t>(XXIX)</w:t>
      </w:r>
      <w:r>
        <w:rPr>
          <w:spacing w:val="30"/>
        </w:rPr>
        <w:t> </w:t>
      </w:r>
      <w:r>
        <w:rPr/>
        <w:t>on</w:t>
      </w:r>
      <w:r>
        <w:rPr>
          <w:spacing w:val="31"/>
        </w:rPr>
        <w:t> </w:t>
      </w:r>
      <w:r>
        <w:rPr/>
        <w:t>the</w:t>
      </w:r>
      <w:r>
        <w:rPr>
          <w:spacing w:val="30"/>
        </w:rPr>
        <w:t> </w:t>
      </w:r>
      <w:r>
        <w:rPr/>
        <w:t>Second</w:t>
      </w:r>
      <w:r>
        <w:rPr>
          <w:spacing w:val="30"/>
        </w:rPr>
        <w:t> </w:t>
      </w:r>
      <w:r>
        <w:rPr/>
        <w:t>Conference</w:t>
      </w:r>
      <w:r>
        <w:rPr>
          <w:spacing w:val="30"/>
        </w:rPr>
        <w:t> </w:t>
      </w:r>
      <w:r>
        <w:rPr/>
        <w:t>of African Ministers of Social Affairs and Cm/822 (XXIX) Add. 1,</w:t>
      </w:r>
    </w:p>
    <w:p>
      <w:pPr>
        <w:pStyle w:val="BodyText"/>
        <w:spacing w:before="8"/>
        <w:rPr>
          <w:sz w:val="35"/>
        </w:rPr>
      </w:pPr>
    </w:p>
    <w:p>
      <w:pPr>
        <w:pStyle w:val="ListParagraph"/>
        <w:numPr>
          <w:ilvl w:val="0"/>
          <w:numId w:val="1"/>
        </w:numPr>
        <w:tabs>
          <w:tab w:pos="1185" w:val="left" w:leader="none"/>
        </w:tabs>
        <w:spacing w:line="362" w:lineRule="auto" w:before="0" w:after="0"/>
        <w:ind w:left="1184" w:right="166" w:hanging="360"/>
        <w:jc w:val="both"/>
        <w:rPr>
          <w:sz w:val="24"/>
        </w:rPr>
      </w:pPr>
      <w:r>
        <w:rPr>
          <w:b/>
          <w:sz w:val="24"/>
        </w:rPr>
        <w:t>ENDORSES </w:t>
      </w:r>
      <w:r>
        <w:rPr>
          <w:sz w:val="24"/>
        </w:rPr>
        <w:t>the resolutions adopted by the Second Conference of African Ministers of</w:t>
      </w:r>
      <w:r>
        <w:rPr>
          <w:spacing w:val="-2"/>
          <w:sz w:val="24"/>
        </w:rPr>
        <w:t> </w:t>
      </w:r>
      <w:r>
        <w:rPr>
          <w:sz w:val="24"/>
        </w:rPr>
        <w:t>Social</w:t>
      </w:r>
      <w:r>
        <w:rPr>
          <w:spacing w:val="-1"/>
          <w:sz w:val="24"/>
        </w:rPr>
        <w:t> </w:t>
      </w:r>
      <w:r>
        <w:rPr>
          <w:sz w:val="24"/>
        </w:rPr>
        <w:t>Affairs</w:t>
      </w:r>
      <w:r>
        <w:rPr>
          <w:spacing w:val="-1"/>
          <w:sz w:val="24"/>
        </w:rPr>
        <w:t> </w:t>
      </w:r>
      <w:r>
        <w:rPr>
          <w:sz w:val="24"/>
        </w:rPr>
        <w:t>held</w:t>
      </w:r>
      <w:r>
        <w:rPr>
          <w:spacing w:val="-2"/>
          <w:sz w:val="24"/>
        </w:rPr>
        <w:t> </w:t>
      </w:r>
      <w:r>
        <w:rPr>
          <w:sz w:val="24"/>
        </w:rPr>
        <w:t>in Alexandria-Egypt from 10 – 14 January, 1977;</w:t>
      </w:r>
    </w:p>
    <w:p>
      <w:pPr>
        <w:pStyle w:val="BodyText"/>
        <w:spacing w:before="8"/>
        <w:rPr>
          <w:sz w:val="35"/>
        </w:rPr>
      </w:pPr>
    </w:p>
    <w:p>
      <w:pPr>
        <w:pStyle w:val="ListParagraph"/>
        <w:numPr>
          <w:ilvl w:val="0"/>
          <w:numId w:val="1"/>
        </w:numPr>
        <w:tabs>
          <w:tab w:pos="1185" w:val="left" w:leader="none"/>
        </w:tabs>
        <w:spacing w:line="360" w:lineRule="auto" w:before="0" w:after="0"/>
        <w:ind w:left="1184" w:right="127" w:hanging="360"/>
        <w:jc w:val="both"/>
        <w:rPr>
          <w:sz w:val="24"/>
        </w:rPr>
      </w:pPr>
      <w:r>
        <w:rPr>
          <w:b/>
          <w:sz w:val="24"/>
        </w:rPr>
        <w:t>COMMENDS </w:t>
      </w:r>
      <w:r>
        <w:rPr>
          <w:sz w:val="24"/>
        </w:rPr>
        <w:t>the active participation of the African Governments to the Second conference</w:t>
      </w:r>
      <w:r>
        <w:rPr>
          <w:spacing w:val="-8"/>
          <w:sz w:val="24"/>
        </w:rPr>
        <w:t> </w:t>
      </w:r>
      <w:r>
        <w:rPr>
          <w:sz w:val="24"/>
        </w:rPr>
        <w:t>of African Ministers of Social Affairs, as well as the co</w:t>
      </w:r>
      <w:r>
        <w:rPr>
          <w:spacing w:val="-15"/>
          <w:sz w:val="24"/>
        </w:rPr>
        <w:t> </w:t>
      </w:r>
      <w:r>
        <w:rPr>
          <w:sz w:val="24"/>
        </w:rPr>
        <w:t>-operation which OAU, ECA and ASWEA developed for the preparation of the Conference;</w:t>
      </w:r>
    </w:p>
    <w:p>
      <w:pPr>
        <w:pStyle w:val="BodyText"/>
        <w:rPr>
          <w:sz w:val="36"/>
        </w:rPr>
      </w:pPr>
    </w:p>
    <w:p>
      <w:pPr>
        <w:pStyle w:val="ListParagraph"/>
        <w:numPr>
          <w:ilvl w:val="0"/>
          <w:numId w:val="1"/>
        </w:numPr>
        <w:tabs>
          <w:tab w:pos="1185" w:val="left" w:leader="none"/>
        </w:tabs>
        <w:spacing w:line="360" w:lineRule="auto" w:before="0" w:after="0"/>
        <w:ind w:left="1184" w:right="126" w:hanging="360"/>
        <w:jc w:val="both"/>
        <w:rPr>
          <w:sz w:val="24"/>
        </w:rPr>
      </w:pPr>
      <w:r>
        <w:rPr>
          <w:b/>
          <w:sz w:val="24"/>
        </w:rPr>
        <w:t>REQUESTS </w:t>
      </w:r>
      <w:r>
        <w:rPr>
          <w:sz w:val="24"/>
        </w:rPr>
        <w:t>the Administrative Secretary-General of the OAU, in close collaboration with the Executive Secretary of the ECA, to implement the resolution adopted</w:t>
      </w:r>
      <w:r>
        <w:rPr>
          <w:spacing w:val="-3"/>
          <w:sz w:val="24"/>
        </w:rPr>
        <w:t> </w:t>
      </w:r>
      <w:r>
        <w:rPr>
          <w:sz w:val="24"/>
        </w:rPr>
        <w:t>by</w:t>
      </w:r>
      <w:r>
        <w:rPr>
          <w:spacing w:val="-3"/>
          <w:sz w:val="24"/>
        </w:rPr>
        <w:t> </w:t>
      </w:r>
      <w:r>
        <w:rPr>
          <w:sz w:val="24"/>
        </w:rPr>
        <w:t>the</w:t>
      </w:r>
      <w:r>
        <w:rPr>
          <w:spacing w:val="-3"/>
          <w:sz w:val="24"/>
        </w:rPr>
        <w:t> </w:t>
      </w:r>
      <w:r>
        <w:rPr>
          <w:sz w:val="24"/>
        </w:rPr>
        <w:t>Second</w:t>
      </w:r>
      <w:r>
        <w:rPr>
          <w:spacing w:val="-3"/>
          <w:sz w:val="24"/>
        </w:rPr>
        <w:t> </w:t>
      </w:r>
      <w:r>
        <w:rPr>
          <w:sz w:val="24"/>
        </w:rPr>
        <w:t>Conference</w:t>
      </w:r>
      <w:r>
        <w:rPr>
          <w:spacing w:val="-3"/>
          <w:sz w:val="24"/>
        </w:rPr>
        <w:t> </w:t>
      </w:r>
      <w:r>
        <w:rPr>
          <w:sz w:val="24"/>
        </w:rPr>
        <w:t>of</w:t>
      </w:r>
      <w:r>
        <w:rPr>
          <w:spacing w:val="-3"/>
          <w:sz w:val="24"/>
        </w:rPr>
        <w:t> </w:t>
      </w:r>
      <w:r>
        <w:rPr>
          <w:sz w:val="24"/>
        </w:rPr>
        <w:t>African Minister of</w:t>
      </w:r>
      <w:r>
        <w:rPr>
          <w:spacing w:val="-3"/>
          <w:sz w:val="24"/>
        </w:rPr>
        <w:t> </w:t>
      </w:r>
      <w:r>
        <w:rPr>
          <w:sz w:val="24"/>
        </w:rPr>
        <w:t>Social</w:t>
      </w:r>
      <w:r>
        <w:rPr>
          <w:spacing w:val="-2"/>
          <w:sz w:val="24"/>
        </w:rPr>
        <w:t> </w:t>
      </w:r>
      <w:r>
        <w:rPr>
          <w:sz w:val="24"/>
        </w:rPr>
        <w:t>Affairs;</w:t>
      </w:r>
    </w:p>
    <w:p>
      <w:pPr>
        <w:pStyle w:val="BodyText"/>
        <w:rPr>
          <w:sz w:val="36"/>
        </w:rPr>
      </w:pPr>
    </w:p>
    <w:p>
      <w:pPr>
        <w:pStyle w:val="ListParagraph"/>
        <w:numPr>
          <w:ilvl w:val="0"/>
          <w:numId w:val="1"/>
        </w:numPr>
        <w:tabs>
          <w:tab w:pos="1185" w:val="left" w:leader="none"/>
        </w:tabs>
        <w:spacing w:line="360" w:lineRule="auto" w:before="0" w:after="0"/>
        <w:ind w:left="1184" w:right="138" w:hanging="360"/>
        <w:jc w:val="both"/>
        <w:rPr>
          <w:sz w:val="24"/>
        </w:rPr>
      </w:pPr>
      <w:r>
        <w:rPr>
          <w:b/>
          <w:sz w:val="24"/>
        </w:rPr>
        <w:t>FURTHER REQUESTS </w:t>
      </w:r>
      <w:r>
        <w:rPr>
          <w:sz w:val="24"/>
        </w:rPr>
        <w:t>the Administrative Secretary-General of the OAU to work out, in co-operation with the Executive Secretary of the ECA, the necessary</w:t>
      </w:r>
      <w:r>
        <w:rPr>
          <w:spacing w:val="40"/>
          <w:sz w:val="24"/>
        </w:rPr>
        <w:t> </w:t>
      </w:r>
      <w:r>
        <w:rPr>
          <w:sz w:val="24"/>
        </w:rPr>
        <w:t>budgetary arrangements for convening the Third Conference of African Ministers of Social Affairs in 1979</w:t>
      </w:r>
    </w:p>
    <w:p>
      <w:pPr>
        <w:pStyle w:val="BodyText"/>
        <w:spacing w:before="10"/>
        <w:rPr>
          <w:sz w:val="35"/>
        </w:rPr>
      </w:pPr>
    </w:p>
    <w:p>
      <w:pPr>
        <w:pStyle w:val="ListParagraph"/>
        <w:numPr>
          <w:ilvl w:val="0"/>
          <w:numId w:val="1"/>
        </w:numPr>
        <w:tabs>
          <w:tab w:pos="1185" w:val="left" w:leader="none"/>
        </w:tabs>
        <w:spacing w:line="360" w:lineRule="auto" w:before="0" w:after="0"/>
        <w:ind w:left="1184" w:right="120" w:hanging="360"/>
        <w:jc w:val="both"/>
        <w:rPr>
          <w:sz w:val="24"/>
        </w:rPr>
      </w:pPr>
      <w:r>
        <w:rPr>
          <w:b/>
          <w:sz w:val="24"/>
        </w:rPr>
        <w:t>URGES </w:t>
      </w:r>
      <w:r>
        <w:rPr>
          <w:sz w:val="24"/>
        </w:rPr>
        <w:t>all OAU and ECA Member States to take the necessary steps to accede as soon as possible to the agreement establishing the Regional Centre for Applied Research and Training in Social Development through their national constitutional procedures, and to pay annual contributions to the budget of the Cent</w:t>
      </w:r>
      <w:r>
        <w:rPr>
          <w:spacing w:val="-15"/>
          <w:sz w:val="24"/>
        </w:rPr>
        <w:t> </w:t>
      </w:r>
      <w:r>
        <w:rPr>
          <w:sz w:val="24"/>
        </w:rPr>
        <w:t>re according to the OAU Scale of Assessment.</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1"/>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20" w:hanging="361"/>
      </w:pPr>
      <w:rPr>
        <w:rFonts w:hint="default"/>
        <w:lang w:val="en-US" w:eastAsia="en-US" w:bidi="ar-SA"/>
      </w:rPr>
    </w:lvl>
    <w:lvl w:ilvl="2">
      <w:start w:val="0"/>
      <w:numFmt w:val="bullet"/>
      <w:lvlText w:val="•"/>
      <w:lvlJc w:val="left"/>
      <w:pPr>
        <w:ind w:left="2860" w:hanging="361"/>
      </w:pPr>
      <w:rPr>
        <w:rFonts w:hint="default"/>
        <w:lang w:val="en-US" w:eastAsia="en-US" w:bidi="ar-SA"/>
      </w:rPr>
    </w:lvl>
    <w:lvl w:ilvl="3">
      <w:start w:val="0"/>
      <w:numFmt w:val="bullet"/>
      <w:lvlText w:val="•"/>
      <w:lvlJc w:val="left"/>
      <w:pPr>
        <w:ind w:left="3700" w:hanging="361"/>
      </w:pPr>
      <w:rPr>
        <w:rFonts w:hint="default"/>
        <w:lang w:val="en-US" w:eastAsia="en-US" w:bidi="ar-SA"/>
      </w:rPr>
    </w:lvl>
    <w:lvl w:ilvl="4">
      <w:start w:val="0"/>
      <w:numFmt w:val="bullet"/>
      <w:lvlText w:val="•"/>
      <w:lvlJc w:val="left"/>
      <w:pPr>
        <w:ind w:left="4540" w:hanging="361"/>
      </w:pPr>
      <w:rPr>
        <w:rFonts w:hint="default"/>
        <w:lang w:val="en-US" w:eastAsia="en-US" w:bidi="ar-SA"/>
      </w:rPr>
    </w:lvl>
    <w:lvl w:ilvl="5">
      <w:start w:val="0"/>
      <w:numFmt w:val="bullet"/>
      <w:lvlText w:val="•"/>
      <w:lvlJc w:val="left"/>
      <w:pPr>
        <w:ind w:left="5380" w:hanging="361"/>
      </w:pPr>
      <w:rPr>
        <w:rFonts w:hint="default"/>
        <w:lang w:val="en-US" w:eastAsia="en-US" w:bidi="ar-SA"/>
      </w:rPr>
    </w:lvl>
    <w:lvl w:ilvl="6">
      <w:start w:val="0"/>
      <w:numFmt w:val="bullet"/>
      <w:lvlText w:val="•"/>
      <w:lvlJc w:val="left"/>
      <w:pPr>
        <w:ind w:left="6220" w:hanging="361"/>
      </w:pPr>
      <w:rPr>
        <w:rFonts w:hint="default"/>
        <w:lang w:val="en-US" w:eastAsia="en-US" w:bidi="ar-SA"/>
      </w:rPr>
    </w:lvl>
    <w:lvl w:ilvl="7">
      <w:start w:val="0"/>
      <w:numFmt w:val="bullet"/>
      <w:lvlText w:val="•"/>
      <w:lvlJc w:val="left"/>
      <w:pPr>
        <w:ind w:left="7060" w:hanging="361"/>
      </w:pPr>
      <w:rPr>
        <w:rFonts w:hint="default"/>
        <w:lang w:val="en-US" w:eastAsia="en-US" w:bidi="ar-SA"/>
      </w:rPr>
    </w:lvl>
    <w:lvl w:ilvl="8">
      <w:start w:val="0"/>
      <w:numFmt w:val="bullet"/>
      <w:lvlText w:val="•"/>
      <w:lvlJc w:val="left"/>
      <w:pPr>
        <w:ind w:left="7900"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2879" w:right="57" w:hanging="1561"/>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20"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2023-06-07T08:53:07Z</dcterms:created>
  <dcterms:modified xsi:type="dcterms:W3CDTF">2023-06-07T08:53:07Z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