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0" w:lineRule="auto"/>
        <w:rPr>
          <w:u w:val="none"/>
        </w:rPr>
      </w:pPr>
      <w:r>
        <w:rPr>
          <w:spacing w:val="-2"/>
          <w:u w:val="single"/>
        </w:rPr>
        <w:t>RESOLUTION ON THE ADMINISTRATIVE SECRETRY-GENERAL’S</w:t>
      </w:r>
      <w:r>
        <w:rPr>
          <w:spacing w:val="-2"/>
          <w:u w:val="none"/>
        </w:rPr>
        <w:t> </w:t>
      </w:r>
      <w:r>
        <w:rPr>
          <w:u w:val="single"/>
        </w:rPr>
        <w:t>AFRO-ARAB CO-OPERATION ACTIVITIES</w:t>
      </w:r>
    </w:p>
    <w:p>
      <w:pPr>
        <w:pStyle w:val="BodyText"/>
        <w:spacing w:before="6"/>
        <w:rPr>
          <w:b/>
          <w:sz w:val="27"/>
        </w:rPr>
      </w:pPr>
    </w:p>
    <w:p>
      <w:pPr>
        <w:pStyle w:val="BodyText"/>
        <w:spacing w:line="362" w:lineRule="auto" w:before="90"/>
        <w:ind w:left="104" w:right="222" w:firstLine="720"/>
      </w:pPr>
      <w:r>
        <w:rPr>
          <w:spacing w:val="-2"/>
        </w:rPr>
        <w:t>The</w:t>
      </w:r>
      <w:r>
        <w:rPr>
          <w:spacing w:val="-7"/>
        </w:rPr>
        <w:t> </w:t>
      </w:r>
      <w:r>
        <w:rPr>
          <w:spacing w:val="-2"/>
        </w:rPr>
        <w:t>Council</w:t>
      </w:r>
      <w:r>
        <w:rPr>
          <w:spacing w:val="-7"/>
        </w:rPr>
        <w:t> </w:t>
      </w:r>
      <w:r>
        <w:rPr>
          <w:spacing w:val="-2"/>
        </w:rPr>
        <w:t>of</w:t>
      </w:r>
      <w:r>
        <w:rPr>
          <w:spacing w:val="-8"/>
        </w:rPr>
        <w:t> </w:t>
      </w:r>
      <w:r>
        <w:rPr>
          <w:spacing w:val="-2"/>
        </w:rPr>
        <w:t>Ministers</w:t>
      </w:r>
      <w:r>
        <w:rPr>
          <w:spacing w:val="-8"/>
        </w:rPr>
        <w:t> </w:t>
      </w:r>
      <w:r>
        <w:rPr>
          <w:spacing w:val="-2"/>
        </w:rPr>
        <w:t>of</w:t>
      </w:r>
      <w:r>
        <w:rPr>
          <w:spacing w:val="-8"/>
        </w:rPr>
        <w:t> </w:t>
      </w:r>
      <w:r>
        <w:rPr>
          <w:spacing w:val="-2"/>
        </w:rPr>
        <w:t>the</w:t>
      </w:r>
      <w:r>
        <w:rPr>
          <w:spacing w:val="-8"/>
        </w:rPr>
        <w:t> </w:t>
      </w:r>
      <w:r>
        <w:rPr>
          <w:spacing w:val="-2"/>
        </w:rPr>
        <w:t>Organization</w:t>
      </w:r>
      <w:r>
        <w:rPr>
          <w:spacing w:val="-6"/>
        </w:rPr>
        <w:t> </w:t>
      </w:r>
      <w:r>
        <w:rPr>
          <w:spacing w:val="-2"/>
        </w:rPr>
        <w:t>of</w:t>
      </w:r>
      <w:r>
        <w:rPr>
          <w:spacing w:val="-8"/>
        </w:rPr>
        <w:t> </w:t>
      </w:r>
      <w:r>
        <w:rPr>
          <w:spacing w:val="-2"/>
        </w:rPr>
        <w:t>African</w:t>
      </w:r>
      <w:r>
        <w:rPr>
          <w:spacing w:val="-6"/>
        </w:rPr>
        <w:t> </w:t>
      </w:r>
      <w:r>
        <w:rPr>
          <w:spacing w:val="-2"/>
        </w:rPr>
        <w:t>Unity</w:t>
      </w:r>
      <w:r>
        <w:rPr>
          <w:spacing w:val="-8"/>
        </w:rPr>
        <w:t> </w:t>
      </w:r>
      <w:r>
        <w:rPr>
          <w:spacing w:val="-2"/>
        </w:rPr>
        <w:t>meeting</w:t>
      </w:r>
      <w:r>
        <w:rPr>
          <w:spacing w:val="-8"/>
        </w:rPr>
        <w:t> </w:t>
      </w:r>
      <w:r>
        <w:rPr>
          <w:spacing w:val="-2"/>
        </w:rPr>
        <w:t>in</w:t>
      </w:r>
      <w:r>
        <w:rPr>
          <w:spacing w:val="-6"/>
        </w:rPr>
        <w:t> </w:t>
      </w:r>
      <w:r>
        <w:rPr>
          <w:spacing w:val="-2"/>
        </w:rPr>
        <w:t>its</w:t>
      </w:r>
      <w:r>
        <w:rPr>
          <w:spacing w:val="-8"/>
        </w:rPr>
        <w:t> </w:t>
      </w:r>
      <w:r>
        <w:rPr>
          <w:spacing w:val="-2"/>
        </w:rPr>
        <w:t>Twenty- </w:t>
      </w:r>
      <w:r>
        <w:rPr/>
        <w:t>Ninth</w:t>
      </w:r>
      <w:r>
        <w:rPr>
          <w:spacing w:val="-3"/>
        </w:rPr>
        <w:t> </w:t>
      </w:r>
      <w:r>
        <w:rPr/>
        <w:t>Ordinary</w:t>
      </w:r>
      <w:r>
        <w:rPr>
          <w:spacing w:val="-4"/>
        </w:rPr>
        <w:t> </w:t>
      </w:r>
      <w:r>
        <w:rPr/>
        <w:t>Session</w:t>
      </w:r>
      <w:r>
        <w:rPr>
          <w:spacing w:val="-1"/>
        </w:rPr>
        <w:t> </w:t>
      </w:r>
      <w:r>
        <w:rPr/>
        <w:t>in</w:t>
      </w:r>
      <w:r>
        <w:rPr>
          <w:spacing w:val="-1"/>
        </w:rPr>
        <w:t> </w:t>
      </w:r>
      <w:r>
        <w:rPr/>
        <w:t>Libreville,</w:t>
      </w:r>
      <w:r>
        <w:rPr>
          <w:spacing w:val="-1"/>
        </w:rPr>
        <w:t> </w:t>
      </w:r>
      <w:r>
        <w:rPr/>
        <w:t>Gabon,</w:t>
      </w:r>
      <w:r>
        <w:rPr>
          <w:spacing w:val="-1"/>
        </w:rPr>
        <w:t> </w:t>
      </w:r>
      <w:r>
        <w:rPr/>
        <w:t>from</w:t>
      </w:r>
      <w:r>
        <w:rPr>
          <w:spacing w:val="-3"/>
        </w:rPr>
        <w:t> </w:t>
      </w:r>
      <w:r>
        <w:rPr/>
        <w:t>23</w:t>
      </w:r>
      <w:r>
        <w:rPr>
          <w:spacing w:val="-28"/>
        </w:rPr>
        <w:t> </w:t>
      </w:r>
      <w:r>
        <w:rPr>
          <w:vertAlign w:val="superscript"/>
        </w:rPr>
        <w:t>rd</w:t>
      </w:r>
      <w:r>
        <w:rPr>
          <w:spacing w:val="-2"/>
          <w:vertAlign w:val="baseline"/>
        </w:rPr>
        <w:t> </w:t>
      </w:r>
      <w:r>
        <w:rPr>
          <w:vertAlign w:val="baseline"/>
        </w:rPr>
        <w:t>June</w:t>
      </w:r>
      <w:r>
        <w:rPr>
          <w:spacing w:val="-1"/>
          <w:vertAlign w:val="baseline"/>
        </w:rPr>
        <w:t> </w:t>
      </w:r>
      <w:r>
        <w:rPr>
          <w:vertAlign w:val="baseline"/>
        </w:rPr>
        <w:t>to</w:t>
      </w:r>
      <w:r>
        <w:rPr>
          <w:spacing w:val="-1"/>
          <w:vertAlign w:val="baseline"/>
        </w:rPr>
        <w:t> </w:t>
      </w:r>
      <w:r>
        <w:rPr>
          <w:vertAlign w:val="baseline"/>
        </w:rPr>
        <w:t>3</w:t>
      </w:r>
      <w:r>
        <w:rPr>
          <w:spacing w:val="-1"/>
          <w:vertAlign w:val="baseline"/>
        </w:rPr>
        <w:t> </w:t>
      </w:r>
      <w:r>
        <w:rPr>
          <w:vertAlign w:val="baseline"/>
        </w:rPr>
        <w:t>July, 1977,</w:t>
      </w:r>
    </w:p>
    <w:p>
      <w:pPr>
        <w:pStyle w:val="BodyText"/>
        <w:spacing w:before="7"/>
        <w:rPr>
          <w:sz w:val="35"/>
        </w:rPr>
      </w:pPr>
    </w:p>
    <w:p>
      <w:pPr>
        <w:pStyle w:val="BodyText"/>
        <w:spacing w:line="360" w:lineRule="auto"/>
        <w:ind w:left="104" w:right="185" w:firstLine="720"/>
      </w:pPr>
      <w:r>
        <w:rPr>
          <w:b/>
          <w:u w:val="single"/>
        </w:rPr>
        <w:t>Having</w:t>
      </w:r>
      <w:r>
        <w:rPr>
          <w:b/>
          <w:spacing w:val="77"/>
          <w:u w:val="single"/>
        </w:rPr>
        <w:t> </w:t>
      </w:r>
      <w:r>
        <w:rPr>
          <w:b/>
          <w:u w:val="single"/>
        </w:rPr>
        <w:t>noted</w:t>
      </w:r>
      <w:r>
        <w:rPr>
          <w:b/>
          <w:spacing w:val="76"/>
        </w:rPr>
        <w:t> </w:t>
      </w:r>
      <w:r>
        <w:rPr/>
        <w:t>the</w:t>
      </w:r>
      <w:r>
        <w:rPr>
          <w:spacing w:val="72"/>
        </w:rPr>
        <w:t> </w:t>
      </w:r>
      <w:r>
        <w:rPr/>
        <w:t>Administrative</w:t>
      </w:r>
      <w:r>
        <w:rPr>
          <w:spacing w:val="72"/>
        </w:rPr>
        <w:t> </w:t>
      </w:r>
      <w:r>
        <w:rPr/>
        <w:t>Secretary-General’s</w:t>
      </w:r>
      <w:r>
        <w:rPr>
          <w:spacing w:val="71"/>
        </w:rPr>
        <w:t> </w:t>
      </w:r>
      <w:r>
        <w:rPr/>
        <w:t>report</w:t>
      </w:r>
      <w:r>
        <w:rPr>
          <w:spacing w:val="72"/>
        </w:rPr>
        <w:t> </w:t>
      </w:r>
      <w:r>
        <w:rPr/>
        <w:t>on</w:t>
      </w:r>
      <w:r>
        <w:rPr>
          <w:spacing w:val="74"/>
        </w:rPr>
        <w:t> </w:t>
      </w:r>
      <w:r>
        <w:rPr/>
        <w:t>the</w:t>
      </w:r>
      <w:r>
        <w:rPr>
          <w:spacing w:val="71"/>
        </w:rPr>
        <w:t> </w:t>
      </w:r>
      <w:r>
        <w:rPr/>
        <w:t>efforts</w:t>
      </w:r>
      <w:r>
        <w:rPr>
          <w:spacing w:val="71"/>
        </w:rPr>
        <w:t> </w:t>
      </w:r>
      <w:r>
        <w:rPr/>
        <w:t>of</w:t>
      </w:r>
      <w:r>
        <w:rPr>
          <w:spacing w:val="71"/>
        </w:rPr>
        <w:t> </w:t>
      </w:r>
      <w:r>
        <w:rPr/>
        <w:t>the Secretary-General of the OAU in Afro-Arab Co-operation;</w:t>
      </w:r>
    </w:p>
    <w:p>
      <w:pPr>
        <w:pStyle w:val="BodyText"/>
        <w:spacing w:before="1"/>
        <w:rPr>
          <w:sz w:val="36"/>
        </w:rPr>
      </w:pPr>
    </w:p>
    <w:p>
      <w:pPr>
        <w:pStyle w:val="BodyText"/>
        <w:spacing w:line="360" w:lineRule="auto"/>
        <w:ind w:left="104" w:right="120" w:firstLine="719"/>
        <w:jc w:val="both"/>
      </w:pPr>
      <w:r>
        <w:rPr>
          <w:b/>
          <w:u w:val="single"/>
        </w:rPr>
        <w:t>Recalling Resolutions</w:t>
      </w:r>
      <w:r>
        <w:rPr>
          <w:b/>
        </w:rPr>
        <w:t> </w:t>
      </w:r>
      <w:r>
        <w:rPr/>
        <w:t>AHG/AL-OAU/(I), CM/AL-OAU/Dec. 1 (ii), CM/AL-OAU (ii), and AHG/AL-OAU/, Doc. III/Rev. 2 adopted at the Second joint Ministerial Conference and at the First Afro-Arab Summit held in Cairo, from the 3</w:t>
      </w:r>
      <w:r>
        <w:rPr>
          <w:spacing w:val="-15"/>
        </w:rPr>
        <w:t> </w:t>
      </w:r>
      <w:r>
        <w:rPr>
          <w:vertAlign w:val="superscript"/>
        </w:rPr>
        <w:t>rd</w:t>
      </w:r>
      <w:r>
        <w:rPr>
          <w:vertAlign w:val="baseline"/>
        </w:rPr>
        <w:t> to 6</w:t>
      </w:r>
      <w:r>
        <w:rPr>
          <w:vertAlign w:val="superscript"/>
        </w:rPr>
        <w:t>th</w:t>
      </w:r>
      <w:r>
        <w:rPr>
          <w:vertAlign w:val="baseline"/>
        </w:rPr>
        <w:t> and 7</w:t>
      </w:r>
      <w:r>
        <w:rPr>
          <w:vertAlign w:val="superscript"/>
        </w:rPr>
        <w:t>th</w:t>
      </w:r>
      <w:r>
        <w:rPr>
          <w:vertAlign w:val="baseline"/>
        </w:rPr>
        <w:t> to 9rh March, 1977, </w:t>
      </w:r>
      <w:r>
        <w:rPr>
          <w:spacing w:val="-2"/>
          <w:vertAlign w:val="baseline"/>
        </w:rPr>
        <w:t>respectively;</w:t>
      </w:r>
    </w:p>
    <w:p>
      <w:pPr>
        <w:pStyle w:val="BodyText"/>
        <w:spacing w:before="10"/>
        <w:rPr>
          <w:sz w:val="35"/>
        </w:rPr>
      </w:pPr>
    </w:p>
    <w:p>
      <w:pPr>
        <w:pStyle w:val="BodyText"/>
        <w:spacing w:line="360" w:lineRule="auto" w:before="1"/>
        <w:ind w:left="104" w:right="158" w:firstLine="720"/>
        <w:jc w:val="both"/>
      </w:pPr>
      <w:r>
        <w:rPr>
          <w:b/>
          <w:u w:val="single"/>
        </w:rPr>
        <w:t>Convinced</w:t>
      </w:r>
      <w:r>
        <w:rPr>
          <w:b/>
        </w:rPr>
        <w:t> </w:t>
      </w:r>
      <w:r>
        <w:rPr/>
        <w:t>of the important role of the executive organs of the Afro-Arab Co-operation, and especially that of the Afro-Arab Payment Commission in implementing resolutions of the First Afro-Arab Summit in Cairo,</w:t>
      </w:r>
    </w:p>
    <w:p>
      <w:pPr>
        <w:pStyle w:val="BodyText"/>
        <w:rPr>
          <w:sz w:val="36"/>
        </w:rPr>
      </w:pPr>
    </w:p>
    <w:p>
      <w:pPr>
        <w:pStyle w:val="BodyText"/>
        <w:ind w:left="824"/>
      </w:pPr>
      <w:r>
        <w:rPr>
          <w:b/>
          <w:spacing w:val="-2"/>
          <w:u w:val="single"/>
        </w:rPr>
        <w:t>Desirous</w:t>
      </w:r>
      <w:r>
        <w:rPr>
          <w:b/>
          <w:spacing w:val="-1"/>
        </w:rPr>
        <w:t> </w:t>
      </w:r>
      <w:r>
        <w:rPr>
          <w:spacing w:val="-2"/>
        </w:rPr>
        <w:t>of</w:t>
      </w:r>
      <w:r>
        <w:rPr>
          <w:spacing w:val="-4"/>
        </w:rPr>
        <w:t> </w:t>
      </w:r>
      <w:r>
        <w:rPr>
          <w:spacing w:val="-2"/>
        </w:rPr>
        <w:t>strengthening</w:t>
      </w:r>
      <w:r>
        <w:rPr>
          <w:spacing w:val="-5"/>
        </w:rPr>
        <w:t> </w:t>
      </w:r>
      <w:r>
        <w:rPr>
          <w:spacing w:val="-2"/>
        </w:rPr>
        <w:t>further co-operation</w:t>
      </w:r>
      <w:r>
        <w:rPr>
          <w:spacing w:val="-4"/>
        </w:rPr>
        <w:t> </w:t>
      </w:r>
      <w:r>
        <w:rPr>
          <w:spacing w:val="-2"/>
        </w:rPr>
        <w:t>among</w:t>
      </w:r>
      <w:r>
        <w:rPr>
          <w:spacing w:val="-5"/>
        </w:rPr>
        <w:t> </w:t>
      </w:r>
      <w:r>
        <w:rPr>
          <w:spacing w:val="-2"/>
        </w:rPr>
        <w:t>Africans</w:t>
      </w:r>
      <w:r>
        <w:rPr>
          <w:spacing w:val="-5"/>
        </w:rPr>
        <w:t> </w:t>
      </w:r>
      <w:r>
        <w:rPr>
          <w:spacing w:val="-2"/>
        </w:rPr>
        <w:t>and</w:t>
      </w:r>
      <w:r>
        <w:rPr>
          <w:spacing w:val="-5"/>
        </w:rPr>
        <w:t> </w:t>
      </w:r>
      <w:r>
        <w:rPr>
          <w:spacing w:val="-2"/>
        </w:rPr>
        <w:t>Arabs;</w:t>
      </w:r>
    </w:p>
    <w:p>
      <w:pPr>
        <w:pStyle w:val="BodyText"/>
        <w:rPr>
          <w:sz w:val="26"/>
        </w:rPr>
      </w:pPr>
    </w:p>
    <w:p>
      <w:pPr>
        <w:pStyle w:val="BodyText"/>
        <w:spacing w:before="2"/>
        <w:rPr>
          <w:sz w:val="22"/>
        </w:rPr>
      </w:pPr>
    </w:p>
    <w:p>
      <w:pPr>
        <w:pStyle w:val="ListParagraph"/>
        <w:numPr>
          <w:ilvl w:val="0"/>
          <w:numId w:val="1"/>
        </w:numPr>
        <w:tabs>
          <w:tab w:pos="1185" w:val="left" w:leader="none"/>
        </w:tabs>
        <w:spacing w:line="360" w:lineRule="auto" w:before="0" w:after="0"/>
        <w:ind w:left="1184" w:right="205" w:hanging="361"/>
        <w:jc w:val="both"/>
        <w:rPr>
          <w:sz w:val="24"/>
        </w:rPr>
      </w:pPr>
      <w:r>
        <w:rPr>
          <w:b/>
          <w:sz w:val="24"/>
        </w:rPr>
        <w:t>TAKES NOTE </w:t>
      </w:r>
      <w:r>
        <w:rPr>
          <w:sz w:val="24"/>
        </w:rPr>
        <w:t>with satisfaction of</w:t>
      </w:r>
      <w:r>
        <w:rPr>
          <w:spacing w:val="-1"/>
          <w:sz w:val="24"/>
        </w:rPr>
        <w:t> </w:t>
      </w:r>
      <w:r>
        <w:rPr>
          <w:sz w:val="24"/>
        </w:rPr>
        <w:t>the</w:t>
      </w:r>
      <w:r>
        <w:rPr>
          <w:spacing w:val="-1"/>
          <w:sz w:val="24"/>
        </w:rPr>
        <w:t> </w:t>
      </w:r>
      <w:r>
        <w:rPr>
          <w:sz w:val="24"/>
        </w:rPr>
        <w:t>Administrative</w:t>
      </w:r>
      <w:r>
        <w:rPr>
          <w:spacing w:val="-1"/>
          <w:sz w:val="24"/>
        </w:rPr>
        <w:t> </w:t>
      </w:r>
      <w:r>
        <w:rPr>
          <w:sz w:val="24"/>
        </w:rPr>
        <w:t>Secretary-Genera’s</w:t>
      </w:r>
      <w:r>
        <w:rPr>
          <w:spacing w:val="-5"/>
          <w:sz w:val="24"/>
        </w:rPr>
        <w:t> </w:t>
      </w:r>
      <w:r>
        <w:rPr>
          <w:sz w:val="24"/>
        </w:rPr>
        <w:t>report</w:t>
      </w:r>
      <w:r>
        <w:rPr>
          <w:spacing w:val="-4"/>
          <w:sz w:val="24"/>
        </w:rPr>
        <w:t> </w:t>
      </w:r>
      <w:r>
        <w:rPr>
          <w:sz w:val="24"/>
        </w:rPr>
        <w:t>on the efforts of the OAU Secretary-General on Afro-Arab Co-operation;</w:t>
      </w:r>
    </w:p>
    <w:p>
      <w:pPr>
        <w:pStyle w:val="BodyText"/>
        <w:spacing w:before="8"/>
        <w:rPr>
          <w:sz w:val="35"/>
        </w:rPr>
      </w:pPr>
    </w:p>
    <w:p>
      <w:pPr>
        <w:pStyle w:val="ListParagraph"/>
        <w:numPr>
          <w:ilvl w:val="0"/>
          <w:numId w:val="1"/>
        </w:numPr>
        <w:tabs>
          <w:tab w:pos="1185" w:val="left" w:leader="none"/>
        </w:tabs>
        <w:spacing w:line="360" w:lineRule="auto" w:before="0" w:after="0"/>
        <w:ind w:left="1184" w:right="157" w:hanging="361"/>
        <w:jc w:val="both"/>
        <w:rPr>
          <w:sz w:val="24"/>
        </w:rPr>
      </w:pPr>
      <w:r>
        <w:rPr>
          <w:b/>
          <w:sz w:val="24"/>
        </w:rPr>
        <w:t>TAKES NOTE OF </w:t>
      </w:r>
      <w:r>
        <w:rPr>
          <w:sz w:val="24"/>
        </w:rPr>
        <w:t>the Rules of Procedures of the Afro-Arab</w:t>
      </w:r>
      <w:r>
        <w:rPr>
          <w:spacing w:val="-4"/>
          <w:sz w:val="24"/>
        </w:rPr>
        <w:t> </w:t>
      </w:r>
      <w:r>
        <w:rPr>
          <w:sz w:val="24"/>
        </w:rPr>
        <w:t>Standing</w:t>
      </w:r>
      <w:r>
        <w:rPr>
          <w:spacing w:val="-4"/>
          <w:sz w:val="24"/>
        </w:rPr>
        <w:t> </w:t>
      </w:r>
      <w:r>
        <w:rPr>
          <w:sz w:val="24"/>
        </w:rPr>
        <w:t>Commission and</w:t>
      </w:r>
      <w:r>
        <w:rPr>
          <w:spacing w:val="-3"/>
          <w:sz w:val="24"/>
        </w:rPr>
        <w:t> </w:t>
      </w:r>
      <w:r>
        <w:rPr>
          <w:sz w:val="24"/>
        </w:rPr>
        <w:t>of</w:t>
      </w:r>
      <w:r>
        <w:rPr>
          <w:spacing w:val="-3"/>
          <w:sz w:val="24"/>
        </w:rPr>
        <w:t> </w:t>
      </w:r>
      <w:r>
        <w:rPr>
          <w:sz w:val="24"/>
        </w:rPr>
        <w:t>the</w:t>
      </w:r>
      <w:r>
        <w:rPr>
          <w:spacing w:val="-3"/>
          <w:sz w:val="24"/>
        </w:rPr>
        <w:t> </w:t>
      </w:r>
      <w:r>
        <w:rPr>
          <w:sz w:val="24"/>
        </w:rPr>
        <w:t>establishment</w:t>
      </w:r>
      <w:r>
        <w:rPr>
          <w:spacing w:val="-2"/>
          <w:sz w:val="24"/>
        </w:rPr>
        <w:t> </w:t>
      </w:r>
      <w:r>
        <w:rPr>
          <w:sz w:val="24"/>
        </w:rPr>
        <w:t>of</w:t>
      </w:r>
      <w:r>
        <w:rPr>
          <w:spacing w:val="-3"/>
          <w:sz w:val="24"/>
        </w:rPr>
        <w:t> </w:t>
      </w:r>
      <w:r>
        <w:rPr>
          <w:sz w:val="24"/>
        </w:rPr>
        <w:t>the</w:t>
      </w:r>
      <w:r>
        <w:rPr>
          <w:spacing w:val="-3"/>
          <w:sz w:val="24"/>
        </w:rPr>
        <w:t> </w:t>
      </w:r>
      <w:r>
        <w:rPr>
          <w:sz w:val="24"/>
        </w:rPr>
        <w:t>Special</w:t>
      </w:r>
      <w:r>
        <w:rPr>
          <w:spacing w:val="-2"/>
          <w:sz w:val="24"/>
        </w:rPr>
        <w:t> </w:t>
      </w:r>
      <w:r>
        <w:rPr>
          <w:sz w:val="24"/>
        </w:rPr>
        <w:t>Fund</w:t>
      </w:r>
      <w:r>
        <w:rPr>
          <w:spacing w:val="-3"/>
          <w:sz w:val="24"/>
        </w:rPr>
        <w:t> </w:t>
      </w:r>
      <w:r>
        <w:rPr>
          <w:sz w:val="24"/>
        </w:rPr>
        <w:t>aimed</w:t>
      </w:r>
      <w:r>
        <w:rPr>
          <w:spacing w:val="-3"/>
          <w:sz w:val="24"/>
        </w:rPr>
        <w:t> </w:t>
      </w:r>
      <w:r>
        <w:rPr>
          <w:sz w:val="24"/>
        </w:rPr>
        <w:t>at</w:t>
      </w:r>
      <w:r>
        <w:rPr>
          <w:spacing w:val="-1"/>
          <w:sz w:val="24"/>
        </w:rPr>
        <w:t> </w:t>
      </w:r>
      <w:r>
        <w:rPr>
          <w:sz w:val="24"/>
        </w:rPr>
        <w:t>helping</w:t>
      </w:r>
      <w:r>
        <w:rPr>
          <w:spacing w:val="-3"/>
          <w:sz w:val="24"/>
        </w:rPr>
        <w:t> </w:t>
      </w:r>
      <w:r>
        <w:rPr>
          <w:sz w:val="24"/>
        </w:rPr>
        <w:t>the</w:t>
      </w:r>
      <w:r>
        <w:rPr>
          <w:spacing w:val="-3"/>
          <w:sz w:val="24"/>
        </w:rPr>
        <w:t> </w:t>
      </w:r>
      <w:r>
        <w:rPr>
          <w:sz w:val="24"/>
        </w:rPr>
        <w:t>executive</w:t>
      </w:r>
      <w:r>
        <w:rPr>
          <w:spacing w:val="-3"/>
          <w:sz w:val="24"/>
        </w:rPr>
        <w:t> </w:t>
      </w:r>
      <w:r>
        <w:rPr>
          <w:sz w:val="24"/>
        </w:rPr>
        <w:t>organs</w:t>
      </w:r>
      <w:r>
        <w:rPr>
          <w:spacing w:val="-3"/>
          <w:sz w:val="24"/>
        </w:rPr>
        <w:t> </w:t>
      </w:r>
      <w:r>
        <w:rPr>
          <w:sz w:val="24"/>
        </w:rPr>
        <w:t>of the Afro-Arab Co-operation functions;</w:t>
      </w:r>
    </w:p>
    <w:p>
      <w:pPr>
        <w:pStyle w:val="BodyText"/>
        <w:rPr>
          <w:sz w:val="36"/>
        </w:rPr>
      </w:pPr>
    </w:p>
    <w:p>
      <w:pPr>
        <w:pStyle w:val="ListParagraph"/>
        <w:numPr>
          <w:ilvl w:val="0"/>
          <w:numId w:val="1"/>
        </w:numPr>
        <w:tabs>
          <w:tab w:pos="1185" w:val="left" w:leader="none"/>
        </w:tabs>
        <w:spacing w:line="360" w:lineRule="auto" w:before="0" w:after="0"/>
        <w:ind w:left="1184" w:right="151" w:hanging="360"/>
        <w:jc w:val="both"/>
        <w:rPr>
          <w:sz w:val="24"/>
        </w:rPr>
      </w:pPr>
      <w:r>
        <w:rPr>
          <w:b/>
          <w:sz w:val="24"/>
        </w:rPr>
        <w:t>DECIDES</w:t>
      </w:r>
      <w:r>
        <w:rPr>
          <w:b/>
          <w:spacing w:val="40"/>
          <w:sz w:val="24"/>
        </w:rPr>
        <w:t> </w:t>
      </w:r>
      <w:r>
        <w:rPr>
          <w:sz w:val="24"/>
        </w:rPr>
        <w:t>that the Organization of African Unity pay its share which is US Dollars 224, 349.00 to the Special Fund in order to allow the constituted Working Group quickly get off the ground;</w:t>
      </w:r>
    </w:p>
    <w:p>
      <w:pPr>
        <w:spacing w:after="0" w:line="360" w:lineRule="auto"/>
        <w:jc w:val="both"/>
        <w:rPr>
          <w:sz w:val="24"/>
        </w:rPr>
        <w:sectPr>
          <w:headerReference w:type="default" r:id="rId5"/>
          <w:type w:val="continuous"/>
          <w:pgSz w:w="12240" w:h="15840"/>
          <w:pgMar w:header="727" w:footer="0" w:top="1320" w:bottom="280" w:left="1340" w:right="1320"/>
          <w:pgNumType w:start="1"/>
        </w:sectPr>
      </w:pPr>
    </w:p>
    <w:p>
      <w:pPr>
        <w:pStyle w:val="ListParagraph"/>
        <w:numPr>
          <w:ilvl w:val="0"/>
          <w:numId w:val="1"/>
        </w:numPr>
        <w:tabs>
          <w:tab w:pos="1185" w:val="left" w:leader="none"/>
        </w:tabs>
        <w:spacing w:line="360" w:lineRule="auto" w:before="80" w:after="0"/>
        <w:ind w:left="1184" w:right="144" w:hanging="360"/>
        <w:jc w:val="both"/>
        <w:rPr>
          <w:sz w:val="24"/>
        </w:rPr>
      </w:pPr>
      <w:r>
        <w:rPr>
          <w:b/>
          <w:sz w:val="24"/>
        </w:rPr>
        <w:t>CHARGES </w:t>
      </w:r>
      <w:r>
        <w:rPr>
          <w:sz w:val="24"/>
        </w:rPr>
        <w:t>the Working Groups set up by the First Meeting of the Afro-Arab Standing Commission to study objectively the problems inherent in implementing</w:t>
      </w:r>
      <w:r>
        <w:rPr>
          <w:spacing w:val="80"/>
          <w:sz w:val="24"/>
        </w:rPr>
        <w:t> </w:t>
      </w:r>
      <w:r>
        <w:rPr>
          <w:sz w:val="24"/>
        </w:rPr>
        <w:t>the Resolutions of the First Afro-Arab Summit in Cairo, and especially as regards financial co-operation, with a view to fully achieving the objective spelt out at the Cairo Afro-Arab Summit;</w:t>
      </w:r>
    </w:p>
    <w:p>
      <w:pPr>
        <w:pStyle w:val="BodyText"/>
        <w:spacing w:before="9"/>
        <w:rPr>
          <w:sz w:val="35"/>
        </w:rPr>
      </w:pPr>
    </w:p>
    <w:p>
      <w:pPr>
        <w:pStyle w:val="ListParagraph"/>
        <w:numPr>
          <w:ilvl w:val="0"/>
          <w:numId w:val="1"/>
        </w:numPr>
        <w:tabs>
          <w:tab w:pos="1185" w:val="left" w:leader="none"/>
        </w:tabs>
        <w:spacing w:line="360" w:lineRule="auto" w:before="0" w:after="0"/>
        <w:ind w:left="1184" w:right="165" w:hanging="360"/>
        <w:jc w:val="both"/>
        <w:rPr>
          <w:sz w:val="24"/>
        </w:rPr>
      </w:pPr>
      <w:r>
        <w:rPr>
          <w:sz w:val="24"/>
        </w:rPr>
        <w:t>Congratulates the two Secretaries-General of the OAU and</w:t>
      </w:r>
      <w:r>
        <w:rPr>
          <w:spacing w:val="-1"/>
          <w:sz w:val="24"/>
        </w:rPr>
        <w:t> </w:t>
      </w:r>
      <w:r>
        <w:rPr>
          <w:sz w:val="24"/>
        </w:rPr>
        <w:t>the</w:t>
      </w:r>
      <w:r>
        <w:rPr>
          <w:spacing w:val="-1"/>
          <w:sz w:val="24"/>
        </w:rPr>
        <w:t> </w:t>
      </w:r>
      <w:r>
        <w:rPr>
          <w:sz w:val="24"/>
        </w:rPr>
        <w:t>Arab</w:t>
      </w:r>
      <w:r>
        <w:rPr>
          <w:spacing w:val="-1"/>
          <w:sz w:val="24"/>
        </w:rPr>
        <w:t> </w:t>
      </w:r>
      <w:r>
        <w:rPr>
          <w:sz w:val="24"/>
        </w:rPr>
        <w:t>League</w:t>
      </w:r>
      <w:r>
        <w:rPr>
          <w:spacing w:val="-1"/>
          <w:sz w:val="24"/>
        </w:rPr>
        <w:t> </w:t>
      </w:r>
      <w:r>
        <w:rPr>
          <w:sz w:val="24"/>
        </w:rPr>
        <w:t>for their concerted and co-ordinated efforts towards implementing the Cairo Declaration and </w:t>
      </w:r>
      <w:r>
        <w:rPr>
          <w:spacing w:val="-2"/>
          <w:sz w:val="24"/>
        </w:rPr>
        <w:t>resolutions;</w:t>
      </w:r>
    </w:p>
    <w:p>
      <w:pPr>
        <w:pStyle w:val="BodyText"/>
        <w:rPr>
          <w:sz w:val="36"/>
        </w:rPr>
      </w:pPr>
    </w:p>
    <w:p>
      <w:pPr>
        <w:pStyle w:val="ListParagraph"/>
        <w:numPr>
          <w:ilvl w:val="0"/>
          <w:numId w:val="1"/>
        </w:numPr>
        <w:tabs>
          <w:tab w:pos="1185" w:val="left" w:leader="none"/>
        </w:tabs>
        <w:spacing w:line="360" w:lineRule="auto" w:before="0" w:after="0"/>
        <w:ind w:left="1184" w:right="153" w:hanging="360"/>
        <w:jc w:val="both"/>
        <w:rPr>
          <w:sz w:val="24"/>
        </w:rPr>
      </w:pPr>
      <w:r>
        <w:rPr>
          <w:b/>
          <w:sz w:val="24"/>
        </w:rPr>
        <w:t>REQUESTS </w:t>
      </w:r>
      <w:r>
        <w:rPr>
          <w:sz w:val="24"/>
        </w:rPr>
        <w:t>the Administrative Secretary-General of the OAU to undertake immediately</w:t>
      </w:r>
      <w:r>
        <w:rPr>
          <w:spacing w:val="-6"/>
          <w:sz w:val="24"/>
        </w:rPr>
        <w:t> </w:t>
      </w:r>
      <w:r>
        <w:rPr>
          <w:sz w:val="24"/>
        </w:rPr>
        <w:t>necessary</w:t>
      </w:r>
      <w:r>
        <w:rPr>
          <w:spacing w:val="-6"/>
          <w:sz w:val="24"/>
        </w:rPr>
        <w:t> </w:t>
      </w:r>
      <w:r>
        <w:rPr>
          <w:sz w:val="24"/>
        </w:rPr>
        <w:t>steps,</w:t>
      </w:r>
      <w:r>
        <w:rPr>
          <w:spacing w:val="-4"/>
          <w:sz w:val="24"/>
        </w:rPr>
        <w:t> </w:t>
      </w:r>
      <w:r>
        <w:rPr>
          <w:sz w:val="24"/>
        </w:rPr>
        <w:t>in</w:t>
      </w:r>
      <w:r>
        <w:rPr>
          <w:spacing w:val="-4"/>
          <w:sz w:val="24"/>
        </w:rPr>
        <w:t> </w:t>
      </w:r>
      <w:r>
        <w:rPr>
          <w:sz w:val="24"/>
        </w:rPr>
        <w:t>conjunction</w:t>
      </w:r>
      <w:r>
        <w:rPr>
          <w:spacing w:val="-4"/>
          <w:sz w:val="24"/>
        </w:rPr>
        <w:t> </w:t>
      </w:r>
      <w:r>
        <w:rPr>
          <w:sz w:val="24"/>
        </w:rPr>
        <w:t>with</w:t>
      </w:r>
      <w:r>
        <w:rPr>
          <w:spacing w:val="-4"/>
          <w:sz w:val="24"/>
        </w:rPr>
        <w:t> </w:t>
      </w:r>
      <w:r>
        <w:rPr>
          <w:sz w:val="24"/>
        </w:rPr>
        <w:t>the</w:t>
      </w:r>
      <w:r>
        <w:rPr>
          <w:spacing w:val="40"/>
          <w:sz w:val="24"/>
        </w:rPr>
        <w:t> </w:t>
      </w:r>
      <w:r>
        <w:rPr>
          <w:sz w:val="24"/>
        </w:rPr>
        <w:t>Arab</w:t>
      </w:r>
      <w:r>
        <w:rPr>
          <w:spacing w:val="-6"/>
          <w:sz w:val="24"/>
        </w:rPr>
        <w:t> </w:t>
      </w:r>
      <w:r>
        <w:rPr>
          <w:sz w:val="24"/>
        </w:rPr>
        <w:t>League</w:t>
      </w:r>
      <w:r>
        <w:rPr>
          <w:spacing w:val="-5"/>
          <w:sz w:val="24"/>
        </w:rPr>
        <w:t> </w:t>
      </w:r>
      <w:r>
        <w:rPr>
          <w:sz w:val="24"/>
        </w:rPr>
        <w:t>Secretary-General in order to constitute as a matter of priority, the working group in charge of financial </w:t>
      </w:r>
      <w:r>
        <w:rPr>
          <w:spacing w:val="-2"/>
          <w:sz w:val="24"/>
        </w:rPr>
        <w:t>co-operation;</w:t>
      </w:r>
    </w:p>
    <w:p>
      <w:pPr>
        <w:pStyle w:val="BodyText"/>
        <w:spacing w:before="10"/>
        <w:rPr>
          <w:sz w:val="35"/>
        </w:rPr>
      </w:pPr>
    </w:p>
    <w:p>
      <w:pPr>
        <w:pStyle w:val="ListParagraph"/>
        <w:numPr>
          <w:ilvl w:val="0"/>
          <w:numId w:val="1"/>
        </w:numPr>
        <w:tabs>
          <w:tab w:pos="1186" w:val="left" w:leader="none"/>
        </w:tabs>
        <w:spacing w:line="360" w:lineRule="auto" w:before="0" w:after="0"/>
        <w:ind w:left="1184" w:right="152" w:hanging="360"/>
        <w:jc w:val="both"/>
        <w:rPr>
          <w:sz w:val="24"/>
        </w:rPr>
      </w:pPr>
      <w:r>
        <w:rPr>
          <w:b/>
          <w:sz w:val="24"/>
        </w:rPr>
        <w:t>MANDATES </w:t>
      </w:r>
      <w:r>
        <w:rPr>
          <w:sz w:val="24"/>
        </w:rPr>
        <w:t>the OAU Administrative Secretary General to undertake in consultation with the Secretary General of the League of Arab States the necessary studies in order to set up a Permanent Executive Unit for Afro-Arab Cooperation;</w:t>
      </w:r>
    </w:p>
    <w:p>
      <w:pPr>
        <w:pStyle w:val="BodyText"/>
        <w:rPr>
          <w:sz w:val="36"/>
        </w:rPr>
      </w:pPr>
    </w:p>
    <w:p>
      <w:pPr>
        <w:pStyle w:val="ListParagraph"/>
        <w:numPr>
          <w:ilvl w:val="0"/>
          <w:numId w:val="1"/>
        </w:numPr>
        <w:tabs>
          <w:tab w:pos="1185" w:val="left" w:leader="none"/>
        </w:tabs>
        <w:spacing w:line="362" w:lineRule="auto" w:before="1" w:after="0"/>
        <w:ind w:left="1184" w:right="170" w:hanging="360"/>
        <w:jc w:val="both"/>
        <w:rPr>
          <w:sz w:val="24"/>
        </w:rPr>
      </w:pPr>
      <w:r>
        <w:rPr>
          <w:b/>
          <w:sz w:val="24"/>
        </w:rPr>
        <w:t>DECIDES</w:t>
      </w:r>
      <w:r>
        <w:rPr>
          <w:b/>
          <w:spacing w:val="-2"/>
          <w:sz w:val="24"/>
        </w:rPr>
        <w:t> </w:t>
      </w:r>
      <w:r>
        <w:rPr>
          <w:sz w:val="24"/>
        </w:rPr>
        <w:t>to</w:t>
      </w:r>
      <w:r>
        <w:rPr>
          <w:spacing w:val="-4"/>
          <w:sz w:val="24"/>
        </w:rPr>
        <w:t> </w:t>
      </w:r>
      <w:r>
        <w:rPr>
          <w:sz w:val="24"/>
        </w:rPr>
        <w:t>strengthen</w:t>
      </w:r>
      <w:r>
        <w:rPr>
          <w:spacing w:val="-1"/>
          <w:sz w:val="24"/>
        </w:rPr>
        <w:t> </w:t>
      </w:r>
      <w:r>
        <w:rPr>
          <w:sz w:val="24"/>
        </w:rPr>
        <w:t>the</w:t>
      </w:r>
      <w:r>
        <w:rPr>
          <w:spacing w:val="-4"/>
          <w:sz w:val="24"/>
        </w:rPr>
        <w:t> </w:t>
      </w:r>
      <w:r>
        <w:rPr>
          <w:sz w:val="24"/>
        </w:rPr>
        <w:t>Afro-Arab</w:t>
      </w:r>
      <w:r>
        <w:rPr>
          <w:spacing w:val="-6"/>
          <w:sz w:val="24"/>
        </w:rPr>
        <w:t> </w:t>
      </w:r>
      <w:r>
        <w:rPr>
          <w:sz w:val="24"/>
        </w:rPr>
        <w:t>Cooperation</w:t>
      </w:r>
      <w:r>
        <w:rPr>
          <w:spacing w:val="-4"/>
          <w:sz w:val="24"/>
        </w:rPr>
        <w:t> </w:t>
      </w:r>
      <w:r>
        <w:rPr>
          <w:sz w:val="24"/>
        </w:rPr>
        <w:t>Bureau</w:t>
      </w:r>
      <w:r>
        <w:rPr>
          <w:spacing w:val="-6"/>
          <w:sz w:val="24"/>
        </w:rPr>
        <w:t> </w:t>
      </w:r>
      <w:r>
        <w:rPr>
          <w:sz w:val="24"/>
        </w:rPr>
        <w:t>within</w:t>
      </w:r>
      <w:r>
        <w:rPr>
          <w:spacing w:val="-4"/>
          <w:sz w:val="24"/>
        </w:rPr>
        <w:t> </w:t>
      </w:r>
      <w:r>
        <w:rPr>
          <w:sz w:val="24"/>
        </w:rPr>
        <w:t>the</w:t>
      </w:r>
      <w:r>
        <w:rPr>
          <w:spacing w:val="-6"/>
          <w:sz w:val="24"/>
        </w:rPr>
        <w:t> </w:t>
      </w:r>
      <w:r>
        <w:rPr>
          <w:sz w:val="24"/>
        </w:rPr>
        <w:t>OAU</w:t>
      </w:r>
      <w:r>
        <w:rPr>
          <w:spacing w:val="-6"/>
          <w:sz w:val="24"/>
        </w:rPr>
        <w:t> </w:t>
      </w:r>
      <w:r>
        <w:rPr>
          <w:sz w:val="24"/>
        </w:rPr>
        <w:t>General </w:t>
      </w:r>
      <w:r>
        <w:rPr>
          <w:spacing w:val="-2"/>
          <w:sz w:val="24"/>
        </w:rPr>
        <w:t>Secretariat;</w:t>
      </w:r>
    </w:p>
    <w:p>
      <w:pPr>
        <w:pStyle w:val="BodyText"/>
        <w:spacing w:before="7"/>
        <w:rPr>
          <w:sz w:val="35"/>
        </w:rPr>
      </w:pPr>
    </w:p>
    <w:p>
      <w:pPr>
        <w:pStyle w:val="ListParagraph"/>
        <w:numPr>
          <w:ilvl w:val="0"/>
          <w:numId w:val="1"/>
        </w:numPr>
        <w:tabs>
          <w:tab w:pos="1185" w:val="left" w:leader="none"/>
        </w:tabs>
        <w:spacing w:line="360" w:lineRule="auto" w:before="0" w:after="0"/>
        <w:ind w:left="1184" w:right="154" w:hanging="360"/>
        <w:jc w:val="both"/>
        <w:rPr>
          <w:sz w:val="24"/>
        </w:rPr>
      </w:pPr>
      <w:r>
        <w:rPr>
          <w:b/>
          <w:sz w:val="24"/>
        </w:rPr>
        <w:t>REQUESTS </w:t>
      </w:r>
      <w:r>
        <w:rPr>
          <w:sz w:val="24"/>
        </w:rPr>
        <w:t>the Administrative Secretary General to appoint as early as possible a Permanent Representative of the OAU to the League of Arab States;</w:t>
      </w:r>
    </w:p>
    <w:p>
      <w:pPr>
        <w:pStyle w:val="BodyText"/>
        <w:spacing w:before="1"/>
        <w:rPr>
          <w:sz w:val="36"/>
        </w:rPr>
      </w:pPr>
    </w:p>
    <w:p>
      <w:pPr>
        <w:pStyle w:val="ListParagraph"/>
        <w:numPr>
          <w:ilvl w:val="0"/>
          <w:numId w:val="1"/>
        </w:numPr>
        <w:tabs>
          <w:tab w:pos="1185" w:val="left" w:leader="none"/>
        </w:tabs>
        <w:spacing w:line="360" w:lineRule="auto" w:before="0" w:after="0"/>
        <w:ind w:left="1184" w:right="166" w:hanging="360"/>
        <w:jc w:val="both"/>
        <w:rPr>
          <w:sz w:val="24"/>
        </w:rPr>
      </w:pPr>
      <w:r>
        <w:rPr>
          <w:b/>
          <w:sz w:val="24"/>
        </w:rPr>
        <w:t>REQUESTS </w:t>
      </w:r>
      <w:r>
        <w:rPr>
          <w:sz w:val="24"/>
        </w:rPr>
        <w:t>the African Group at the United Nations and other international organizations to co-ordinate their efforts with the Arab Group;</w:t>
      </w:r>
    </w:p>
    <w:p>
      <w:pPr>
        <w:pStyle w:val="BodyText"/>
        <w:spacing w:before="1"/>
        <w:rPr>
          <w:sz w:val="36"/>
        </w:rPr>
      </w:pPr>
    </w:p>
    <w:p>
      <w:pPr>
        <w:pStyle w:val="ListParagraph"/>
        <w:numPr>
          <w:ilvl w:val="0"/>
          <w:numId w:val="1"/>
        </w:numPr>
        <w:tabs>
          <w:tab w:pos="1185" w:val="left" w:leader="none"/>
        </w:tabs>
        <w:spacing w:line="360" w:lineRule="auto" w:before="0" w:after="0"/>
        <w:ind w:left="1184" w:right="117" w:hanging="360"/>
        <w:jc w:val="both"/>
        <w:rPr>
          <w:sz w:val="24"/>
        </w:rPr>
      </w:pPr>
      <w:r>
        <w:rPr>
          <w:b/>
          <w:sz w:val="24"/>
        </w:rPr>
        <w:t>DECIDES </w:t>
      </w:r>
      <w:r>
        <w:rPr>
          <w:sz w:val="24"/>
        </w:rPr>
        <w:t>to renew the membership of the OAU Committee of “TWELFE” which will be compassed of the following Member States Togo, Niger, Liberia, Nigeria, Comoros, Kenya, Cameroon, Gabon, Mozambique, Botswana, Algeria and Egypt.</w:t>
      </w:r>
    </w:p>
    <w:sectPr>
      <w:pgSz w:w="12240" w:h="15840"/>
      <w:pgMar w:header="727" w:footer="0" w:top="132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7.23999pt;margin-top:35.346642pt;width:104pt;height:15.3pt;mso-position-horizontal-relative:page;mso-position-vertical-relative:page;z-index:-15762944" type="#_x0000_t202" id="docshape1" filled="false" stroked="false">
          <v:textbox inset="0,0,0,0">
            <w:txbxContent>
              <w:p>
                <w:pPr>
                  <w:pStyle w:val="BodyText"/>
                  <w:spacing w:before="10"/>
                  <w:ind w:left="20"/>
                </w:pPr>
                <w:r>
                  <w:rPr/>
                  <w:t>CM/Res.</w:t>
                </w:r>
                <w:r>
                  <w:rPr>
                    <w:spacing w:val="-13"/>
                  </w:rPr>
                  <w:t> </w:t>
                </w:r>
                <w:r>
                  <w:rPr>
                    <w:spacing w:val="-2"/>
                  </w:rPr>
                  <w:t>576(XXIX)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1"/>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20" w:hanging="361"/>
      </w:pPr>
      <w:rPr>
        <w:rFonts w:hint="default"/>
        <w:lang w:val="en-US" w:eastAsia="en-US" w:bidi="ar-SA"/>
      </w:rPr>
    </w:lvl>
    <w:lvl w:ilvl="2">
      <w:start w:val="0"/>
      <w:numFmt w:val="bullet"/>
      <w:lvlText w:val="•"/>
      <w:lvlJc w:val="left"/>
      <w:pPr>
        <w:ind w:left="2860" w:hanging="361"/>
      </w:pPr>
      <w:rPr>
        <w:rFonts w:hint="default"/>
        <w:lang w:val="en-US" w:eastAsia="en-US" w:bidi="ar-SA"/>
      </w:rPr>
    </w:lvl>
    <w:lvl w:ilvl="3">
      <w:start w:val="0"/>
      <w:numFmt w:val="bullet"/>
      <w:lvlText w:val="•"/>
      <w:lvlJc w:val="left"/>
      <w:pPr>
        <w:ind w:left="3700" w:hanging="361"/>
      </w:pPr>
      <w:rPr>
        <w:rFonts w:hint="default"/>
        <w:lang w:val="en-US" w:eastAsia="en-US" w:bidi="ar-SA"/>
      </w:rPr>
    </w:lvl>
    <w:lvl w:ilvl="4">
      <w:start w:val="0"/>
      <w:numFmt w:val="bullet"/>
      <w:lvlText w:val="•"/>
      <w:lvlJc w:val="left"/>
      <w:pPr>
        <w:ind w:left="4540" w:hanging="361"/>
      </w:pPr>
      <w:rPr>
        <w:rFonts w:hint="default"/>
        <w:lang w:val="en-US" w:eastAsia="en-US" w:bidi="ar-SA"/>
      </w:rPr>
    </w:lvl>
    <w:lvl w:ilvl="5">
      <w:start w:val="0"/>
      <w:numFmt w:val="bullet"/>
      <w:lvlText w:val="•"/>
      <w:lvlJc w:val="left"/>
      <w:pPr>
        <w:ind w:left="5380" w:hanging="361"/>
      </w:pPr>
      <w:rPr>
        <w:rFonts w:hint="default"/>
        <w:lang w:val="en-US" w:eastAsia="en-US" w:bidi="ar-SA"/>
      </w:rPr>
    </w:lvl>
    <w:lvl w:ilvl="6">
      <w:start w:val="0"/>
      <w:numFmt w:val="bullet"/>
      <w:lvlText w:val="•"/>
      <w:lvlJc w:val="left"/>
      <w:pPr>
        <w:ind w:left="6220" w:hanging="361"/>
      </w:pPr>
      <w:rPr>
        <w:rFonts w:hint="default"/>
        <w:lang w:val="en-US" w:eastAsia="en-US" w:bidi="ar-SA"/>
      </w:rPr>
    </w:lvl>
    <w:lvl w:ilvl="7">
      <w:start w:val="0"/>
      <w:numFmt w:val="bullet"/>
      <w:lvlText w:val="•"/>
      <w:lvlJc w:val="left"/>
      <w:pPr>
        <w:ind w:left="7060" w:hanging="361"/>
      </w:pPr>
      <w:rPr>
        <w:rFonts w:hint="default"/>
        <w:lang w:val="en-US" w:eastAsia="en-US" w:bidi="ar-SA"/>
      </w:rPr>
    </w:lvl>
    <w:lvl w:ilvl="8">
      <w:start w:val="0"/>
      <w:numFmt w:val="bullet"/>
      <w:lvlText w:val="•"/>
      <w:lvlJc w:val="left"/>
      <w:pPr>
        <w:ind w:left="7900"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4"/>
      <w:ind w:left="2356" w:right="1021" w:hanging="1392"/>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17"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TWENTY-NINTH ORDINARY SESSION OF THE COUNCIL OF MINISTERS</dc:title>
  <dcterms:created xsi:type="dcterms:W3CDTF">2023-06-07T08:53:39Z</dcterms:created>
  <dcterms:modified xsi:type="dcterms:W3CDTF">2023-06-07T08:53:39Z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