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0" w:lineRule="auto"/>
        <w:rPr>
          <w:u w:val="none"/>
        </w:rPr>
      </w:pPr>
      <w:r>
        <w:rPr>
          <w:u w:val="single"/>
        </w:rPr>
        <w:t>RESOLUTION</w:t>
      </w:r>
      <w:r>
        <w:rPr>
          <w:spacing w:val="-9"/>
          <w:u w:val="single"/>
        </w:rPr>
        <w:t> </w:t>
      </w:r>
      <w:r>
        <w:rPr>
          <w:u w:val="single"/>
        </w:rPr>
        <w:t>ON</w:t>
      </w:r>
      <w:r>
        <w:rPr>
          <w:spacing w:val="-9"/>
          <w:u w:val="single"/>
        </w:rPr>
        <w:t> </w:t>
      </w:r>
      <w:r>
        <w:rPr>
          <w:u w:val="single"/>
        </w:rPr>
        <w:t>THE</w:t>
      </w:r>
      <w:r>
        <w:rPr>
          <w:spacing w:val="-9"/>
          <w:u w:val="single"/>
        </w:rPr>
        <w:t> </w:t>
      </w:r>
      <w:r>
        <w:rPr>
          <w:u w:val="single"/>
        </w:rPr>
        <w:t>GRANTING</w:t>
      </w:r>
      <w:r>
        <w:rPr>
          <w:spacing w:val="-9"/>
          <w:u w:val="single"/>
        </w:rPr>
        <w:t> </w:t>
      </w:r>
      <w:r>
        <w:rPr>
          <w:u w:val="single"/>
        </w:rPr>
        <w:t>OF</w:t>
      </w:r>
      <w:r>
        <w:rPr>
          <w:spacing w:val="-7"/>
          <w:u w:val="single"/>
        </w:rPr>
        <w:t> </w:t>
      </w:r>
      <w:r>
        <w:rPr>
          <w:u w:val="single"/>
        </w:rPr>
        <w:t>OAU</w:t>
      </w:r>
      <w:r>
        <w:rPr>
          <w:spacing w:val="-9"/>
          <w:u w:val="single"/>
        </w:rPr>
        <w:t> </w:t>
      </w:r>
      <w:r>
        <w:rPr>
          <w:u w:val="single"/>
        </w:rPr>
        <w:t>STATUS</w:t>
      </w:r>
      <w:r>
        <w:rPr>
          <w:spacing w:val="-9"/>
          <w:u w:val="single"/>
        </w:rPr>
        <w:t> </w:t>
      </w:r>
      <w:r>
        <w:rPr>
          <w:u w:val="single"/>
        </w:rPr>
        <w:t>OF</w:t>
      </w:r>
      <w:r>
        <w:rPr>
          <w:spacing w:val="-7"/>
          <w:u w:val="single"/>
        </w:rPr>
        <w:t> </w:t>
      </w:r>
      <w:r>
        <w:rPr>
          <w:u w:val="single"/>
        </w:rPr>
        <w:t>SPECIALISED</w:t>
      </w:r>
      <w:r>
        <w:rPr>
          <w:u w:val="none"/>
        </w:rPr>
        <w:t> </w:t>
      </w:r>
      <w:r>
        <w:rPr>
          <w:u w:val="single"/>
        </w:rPr>
        <w:t>INSTITUTION TO THE SUPREME COUNCIL OF SPORT IN AFRICA</w:t>
      </w:r>
    </w:p>
    <w:p>
      <w:pPr>
        <w:pStyle w:val="BodyText"/>
        <w:spacing w:before="6"/>
        <w:rPr>
          <w:b/>
          <w:sz w:val="27"/>
        </w:rPr>
      </w:pPr>
    </w:p>
    <w:p>
      <w:pPr>
        <w:pStyle w:val="BodyText"/>
        <w:spacing w:line="362" w:lineRule="auto" w:before="90"/>
        <w:ind w:left="104" w:right="130" w:firstLine="720"/>
        <w:jc w:val="both"/>
      </w:pPr>
      <w:r>
        <w:rPr/>
        <w:t>The Council of Ministers of the Organization of African Unity meeting in its Twenty- Ninth</w:t>
      </w:r>
      <w:r>
        <w:rPr>
          <w:spacing w:val="-3"/>
        </w:rPr>
        <w:t> </w:t>
      </w:r>
      <w:r>
        <w:rPr/>
        <w:t>Ordinary</w:t>
      </w:r>
      <w:r>
        <w:rPr>
          <w:spacing w:val="-4"/>
        </w:rPr>
        <w:t> </w:t>
      </w:r>
      <w:r>
        <w:rPr/>
        <w:t>Session</w:t>
      </w:r>
      <w:r>
        <w:rPr>
          <w:spacing w:val="-1"/>
        </w:rPr>
        <w:t> </w:t>
      </w:r>
      <w:r>
        <w:rPr/>
        <w:t>in</w:t>
      </w:r>
      <w:r>
        <w:rPr>
          <w:spacing w:val="-1"/>
        </w:rPr>
        <w:t> </w:t>
      </w:r>
      <w:r>
        <w:rPr/>
        <w:t>Libreville,</w:t>
      </w:r>
      <w:r>
        <w:rPr>
          <w:spacing w:val="-1"/>
        </w:rPr>
        <w:t> </w:t>
      </w:r>
      <w:r>
        <w:rPr/>
        <w:t>Gabon,</w:t>
      </w:r>
      <w:r>
        <w:rPr>
          <w:spacing w:val="-1"/>
        </w:rPr>
        <w:t> </w:t>
      </w:r>
      <w:r>
        <w:rPr/>
        <w:t>from</w:t>
      </w:r>
      <w:r>
        <w:rPr>
          <w:spacing w:val="-3"/>
        </w:rPr>
        <w:t> </w:t>
      </w:r>
      <w:r>
        <w:rPr/>
        <w:t>23</w:t>
      </w:r>
      <w:r>
        <w:rPr>
          <w:spacing w:val="-28"/>
        </w:rPr>
        <w:t> </w:t>
      </w:r>
      <w:r>
        <w:rPr>
          <w:vertAlign w:val="superscript"/>
        </w:rPr>
        <w:t>rd</w:t>
      </w:r>
      <w:r>
        <w:rPr>
          <w:spacing w:val="-2"/>
          <w:vertAlign w:val="baseline"/>
        </w:rPr>
        <w:t> </w:t>
      </w:r>
      <w:r>
        <w:rPr>
          <w:vertAlign w:val="baseline"/>
        </w:rPr>
        <w:t>June</w:t>
      </w:r>
      <w:r>
        <w:rPr>
          <w:spacing w:val="-1"/>
          <w:vertAlign w:val="baseline"/>
        </w:rPr>
        <w:t> </w:t>
      </w:r>
      <w:r>
        <w:rPr>
          <w:vertAlign w:val="baseline"/>
        </w:rPr>
        <w:t>to</w:t>
      </w:r>
      <w:r>
        <w:rPr>
          <w:spacing w:val="-1"/>
          <w:vertAlign w:val="baseline"/>
        </w:rPr>
        <w:t> </w:t>
      </w:r>
      <w:r>
        <w:rPr>
          <w:vertAlign w:val="baseline"/>
        </w:rPr>
        <w:t>3</w:t>
      </w:r>
      <w:r>
        <w:rPr>
          <w:spacing w:val="-1"/>
          <w:vertAlign w:val="baseline"/>
        </w:rPr>
        <w:t> </w:t>
      </w:r>
      <w:r>
        <w:rPr>
          <w:vertAlign w:val="baseline"/>
        </w:rPr>
        <w:t>July, 1977,</w:t>
      </w:r>
    </w:p>
    <w:p>
      <w:pPr>
        <w:pStyle w:val="BodyText"/>
        <w:spacing w:before="7"/>
        <w:rPr>
          <w:sz w:val="35"/>
        </w:rPr>
      </w:pPr>
    </w:p>
    <w:p>
      <w:pPr>
        <w:pStyle w:val="BodyText"/>
        <w:spacing w:line="360" w:lineRule="auto"/>
        <w:ind w:left="104" w:right="108" w:firstLine="720"/>
        <w:jc w:val="both"/>
      </w:pPr>
      <w:r>
        <w:rPr>
          <w:b/>
          <w:u w:val="single"/>
        </w:rPr>
        <w:t>Having considered</w:t>
      </w:r>
      <w:r>
        <w:rPr>
          <w:b/>
        </w:rPr>
        <w:t> </w:t>
      </w:r>
      <w:r>
        <w:rPr/>
        <w:t>the report of the OAU Administrative Secretary-General as contained in Document CM/808 (XXIX);</w:t>
      </w:r>
    </w:p>
    <w:p>
      <w:pPr>
        <w:pStyle w:val="BodyText"/>
        <w:spacing w:before="1"/>
        <w:rPr>
          <w:sz w:val="36"/>
        </w:rPr>
      </w:pPr>
    </w:p>
    <w:p>
      <w:pPr>
        <w:pStyle w:val="BodyText"/>
        <w:spacing w:line="360" w:lineRule="auto"/>
        <w:ind w:left="104" w:right="120" w:firstLine="720"/>
        <w:jc w:val="both"/>
      </w:pPr>
      <w:r>
        <w:rPr>
          <w:b/>
          <w:u w:val="single"/>
        </w:rPr>
        <w:t>Considering</w:t>
      </w:r>
      <w:r>
        <w:rPr>
          <w:b/>
        </w:rPr>
        <w:t> </w:t>
      </w:r>
      <w:r>
        <w:rPr/>
        <w:t>paragraph 2, article II, of the OAU Charter which stipulates that Member States should co-ordinate and harmonise their general policies in all fields including the field of social an cultural development,</w:t>
      </w:r>
    </w:p>
    <w:p>
      <w:pPr>
        <w:pStyle w:val="BodyText"/>
        <w:rPr>
          <w:sz w:val="36"/>
        </w:rPr>
      </w:pPr>
    </w:p>
    <w:p>
      <w:pPr>
        <w:pStyle w:val="BodyText"/>
        <w:spacing w:line="360" w:lineRule="auto"/>
        <w:ind w:left="104" w:right="113" w:firstLine="720"/>
        <w:jc w:val="both"/>
      </w:pPr>
      <w:r>
        <w:rPr>
          <w:b/>
          <w:u w:val="single"/>
        </w:rPr>
        <w:t>Considering</w:t>
      </w:r>
      <w:r>
        <w:rPr>
          <w:b/>
        </w:rPr>
        <w:t> </w:t>
      </w:r>
      <w:r>
        <w:rPr/>
        <w:t>the African Declaration on development, co-operation and economic independence adopted by the Assembly of heads of State and Government in Addis Ababa in June 1973;</w:t>
      </w:r>
    </w:p>
    <w:p>
      <w:pPr>
        <w:pStyle w:val="BodyText"/>
        <w:rPr>
          <w:sz w:val="36"/>
        </w:rPr>
      </w:pPr>
    </w:p>
    <w:p>
      <w:pPr>
        <w:pStyle w:val="BodyText"/>
        <w:ind w:left="824"/>
      </w:pPr>
      <w:r>
        <w:rPr>
          <w:b/>
          <w:u w:val="single"/>
        </w:rPr>
        <w:t>Considering</w:t>
      </w:r>
      <w:r>
        <w:rPr>
          <w:b/>
          <w:spacing w:val="-8"/>
        </w:rPr>
        <w:t> </w:t>
      </w:r>
      <w:r>
        <w:rPr/>
        <w:t>that</w:t>
      </w:r>
      <w:r>
        <w:rPr>
          <w:spacing w:val="-9"/>
        </w:rPr>
        <w:t> </w:t>
      </w:r>
      <w:r>
        <w:rPr/>
        <w:t>the</w:t>
      </w:r>
      <w:r>
        <w:rPr>
          <w:spacing w:val="-10"/>
        </w:rPr>
        <w:t> </w:t>
      </w:r>
      <w:r>
        <w:rPr/>
        <w:t>SCSA</w:t>
      </w:r>
      <w:r>
        <w:rPr>
          <w:spacing w:val="-9"/>
        </w:rPr>
        <w:t> </w:t>
      </w:r>
      <w:r>
        <w:rPr/>
        <w:t>was</w:t>
      </w:r>
      <w:r>
        <w:rPr>
          <w:spacing w:val="-10"/>
        </w:rPr>
        <w:t> </w:t>
      </w:r>
      <w:r>
        <w:rPr/>
        <w:t>granted</w:t>
      </w:r>
      <w:r>
        <w:rPr>
          <w:spacing w:val="-9"/>
        </w:rPr>
        <w:t> </w:t>
      </w:r>
      <w:r>
        <w:rPr/>
        <w:t>OAU</w:t>
      </w:r>
      <w:r>
        <w:rPr>
          <w:spacing w:val="-10"/>
        </w:rPr>
        <w:t> </w:t>
      </w:r>
      <w:r>
        <w:rPr/>
        <w:t>observer</w:t>
      </w:r>
      <w:r>
        <w:rPr>
          <w:spacing w:val="-7"/>
        </w:rPr>
        <w:t> </w:t>
      </w:r>
      <w:r>
        <w:rPr/>
        <w:t>status</w:t>
      </w:r>
      <w:r>
        <w:rPr>
          <w:spacing w:val="-10"/>
        </w:rPr>
        <w:t> </w:t>
      </w:r>
      <w:r>
        <w:rPr/>
        <w:t>since</w:t>
      </w:r>
      <w:r>
        <w:rPr>
          <w:spacing w:val="-9"/>
        </w:rPr>
        <w:t> </w:t>
      </w:r>
      <w:r>
        <w:rPr>
          <w:spacing w:val="-2"/>
        </w:rPr>
        <w:t>1968;</w:t>
      </w:r>
    </w:p>
    <w:p>
      <w:pPr>
        <w:pStyle w:val="BodyText"/>
        <w:rPr>
          <w:sz w:val="26"/>
        </w:rPr>
      </w:pPr>
    </w:p>
    <w:p>
      <w:pPr>
        <w:pStyle w:val="BodyText"/>
        <w:spacing w:before="9"/>
        <w:rPr>
          <w:sz w:val="21"/>
        </w:rPr>
      </w:pPr>
    </w:p>
    <w:p>
      <w:pPr>
        <w:pStyle w:val="BodyText"/>
        <w:spacing w:line="360" w:lineRule="auto" w:before="1"/>
        <w:ind w:left="104" w:right="106" w:firstLine="720"/>
        <w:jc w:val="both"/>
      </w:pPr>
      <w:r>
        <w:rPr>
          <w:b/>
          <w:u w:val="single"/>
        </w:rPr>
        <w:t>Considering</w:t>
      </w:r>
      <w:r>
        <w:rPr>
          <w:b/>
        </w:rPr>
        <w:t> </w:t>
      </w:r>
      <w:r>
        <w:rPr/>
        <w:t>the resolution adopted by the Sixth General Assembly of the Supreme Council of Sport in Africa in Kinshasa in May, 1975 calling on the OAU to grant SCS the status of competent specialised body in matters of sports in Africa,</w:t>
      </w:r>
    </w:p>
    <w:p>
      <w:pPr>
        <w:pStyle w:val="BodyText"/>
        <w:spacing w:before="2"/>
        <w:rPr>
          <w:sz w:val="28"/>
        </w:rPr>
      </w:pPr>
    </w:p>
    <w:p>
      <w:pPr>
        <w:pStyle w:val="BodyText"/>
        <w:spacing w:before="90"/>
        <w:ind w:left="824"/>
      </w:pPr>
      <w:r>
        <w:rPr>
          <w:b/>
          <w:u w:val="single"/>
        </w:rPr>
        <w:t>Considering</w:t>
      </w:r>
      <w:r>
        <w:rPr>
          <w:b/>
          <w:spacing w:val="31"/>
        </w:rPr>
        <w:t> </w:t>
      </w:r>
      <w:r>
        <w:rPr/>
        <w:t>the</w:t>
      </w:r>
      <w:r>
        <w:rPr>
          <w:spacing w:val="30"/>
        </w:rPr>
        <w:t> </w:t>
      </w:r>
      <w:r>
        <w:rPr/>
        <w:t>objectives</w:t>
      </w:r>
      <w:r>
        <w:rPr>
          <w:spacing w:val="30"/>
        </w:rPr>
        <w:t> </w:t>
      </w:r>
      <w:r>
        <w:rPr/>
        <w:t>of</w:t>
      </w:r>
      <w:r>
        <w:rPr>
          <w:spacing w:val="29"/>
        </w:rPr>
        <w:t> </w:t>
      </w:r>
      <w:r>
        <w:rPr/>
        <w:t>the</w:t>
      </w:r>
      <w:r>
        <w:rPr>
          <w:spacing w:val="29"/>
        </w:rPr>
        <w:t> </w:t>
      </w:r>
      <w:r>
        <w:rPr/>
        <w:t>SCSA</w:t>
      </w:r>
      <w:r>
        <w:rPr>
          <w:spacing w:val="29"/>
        </w:rPr>
        <w:t> </w:t>
      </w:r>
      <w:r>
        <w:rPr/>
        <w:t>whose</w:t>
      </w:r>
      <w:r>
        <w:rPr>
          <w:spacing w:val="30"/>
        </w:rPr>
        <w:t> </w:t>
      </w:r>
      <w:r>
        <w:rPr/>
        <w:t>activities</w:t>
      </w:r>
      <w:r>
        <w:rPr>
          <w:spacing w:val="29"/>
        </w:rPr>
        <w:t> </w:t>
      </w:r>
      <w:r>
        <w:rPr/>
        <w:t>cover</w:t>
      </w:r>
      <w:r>
        <w:rPr>
          <w:spacing w:val="32"/>
        </w:rPr>
        <w:t> </w:t>
      </w:r>
      <w:r>
        <w:rPr/>
        <w:t>all</w:t>
      </w:r>
      <w:r>
        <w:rPr>
          <w:spacing w:val="30"/>
        </w:rPr>
        <w:t> </w:t>
      </w:r>
      <w:r>
        <w:rPr/>
        <w:t>the</w:t>
      </w:r>
      <w:r>
        <w:rPr>
          <w:spacing w:val="29"/>
        </w:rPr>
        <w:t> </w:t>
      </w:r>
      <w:r>
        <w:rPr/>
        <w:t>OAU</w:t>
      </w:r>
      <w:r>
        <w:rPr>
          <w:spacing w:val="29"/>
        </w:rPr>
        <w:t> </w:t>
      </w:r>
      <w:r>
        <w:rPr>
          <w:spacing w:val="-2"/>
        </w:rPr>
        <w:t>Member</w:t>
      </w:r>
    </w:p>
    <w:p>
      <w:pPr>
        <w:pStyle w:val="BodyText"/>
        <w:spacing w:before="141"/>
        <w:ind w:left="104"/>
      </w:pPr>
      <w:r>
        <w:rPr>
          <w:spacing w:val="-2"/>
        </w:rPr>
        <w:t>States;</w:t>
      </w:r>
    </w:p>
    <w:p>
      <w:pPr>
        <w:pStyle w:val="BodyText"/>
        <w:rPr>
          <w:sz w:val="20"/>
        </w:rPr>
      </w:pPr>
    </w:p>
    <w:p>
      <w:pPr>
        <w:pStyle w:val="BodyText"/>
        <w:rPr>
          <w:sz w:val="20"/>
        </w:rPr>
      </w:pPr>
    </w:p>
    <w:p>
      <w:pPr>
        <w:pStyle w:val="BodyText"/>
        <w:spacing w:line="360" w:lineRule="auto" w:before="90"/>
        <w:ind w:left="104" w:firstLine="720"/>
      </w:pPr>
      <w:r>
        <w:rPr>
          <w:b/>
          <w:u w:val="single"/>
        </w:rPr>
        <w:t>Considering</w:t>
      </w:r>
      <w:r>
        <w:rPr>
          <w:b/>
          <w:spacing w:val="40"/>
        </w:rPr>
        <w:t> </w:t>
      </w:r>
      <w:r>
        <w:rPr/>
        <w:t>the</w:t>
      </w:r>
      <w:r>
        <w:rPr>
          <w:spacing w:val="40"/>
        </w:rPr>
        <w:t> </w:t>
      </w:r>
      <w:r>
        <w:rPr/>
        <w:t>need</w:t>
      </w:r>
      <w:r>
        <w:rPr>
          <w:spacing w:val="40"/>
        </w:rPr>
        <w:t> </w:t>
      </w:r>
      <w:r>
        <w:rPr/>
        <w:t>to</w:t>
      </w:r>
      <w:r>
        <w:rPr>
          <w:spacing w:val="40"/>
        </w:rPr>
        <w:t> </w:t>
      </w:r>
      <w:r>
        <w:rPr/>
        <w:t>harmonise</w:t>
      </w:r>
      <w:r>
        <w:rPr>
          <w:spacing w:val="40"/>
        </w:rPr>
        <w:t> </w:t>
      </w:r>
      <w:r>
        <w:rPr/>
        <w:t>further</w:t>
      </w:r>
      <w:r>
        <w:rPr>
          <w:spacing w:val="40"/>
        </w:rPr>
        <w:t> </w:t>
      </w:r>
      <w:r>
        <w:rPr/>
        <w:t>the</w:t>
      </w:r>
      <w:r>
        <w:rPr>
          <w:spacing w:val="40"/>
        </w:rPr>
        <w:t> </w:t>
      </w:r>
      <w:r>
        <w:rPr/>
        <w:t>actions</w:t>
      </w:r>
      <w:r>
        <w:rPr>
          <w:spacing w:val="40"/>
        </w:rPr>
        <w:t> </w:t>
      </w:r>
      <w:r>
        <w:rPr/>
        <w:t>of</w:t>
      </w:r>
      <w:r>
        <w:rPr>
          <w:spacing w:val="40"/>
        </w:rPr>
        <w:t> </w:t>
      </w:r>
      <w:r>
        <w:rPr/>
        <w:t>Member</w:t>
      </w:r>
      <w:r>
        <w:rPr>
          <w:spacing w:val="40"/>
        </w:rPr>
        <w:t> </w:t>
      </w:r>
      <w:r>
        <w:rPr/>
        <w:t>States</w:t>
      </w:r>
      <w:r>
        <w:rPr>
          <w:spacing w:val="40"/>
        </w:rPr>
        <w:t> </w:t>
      </w:r>
      <w:r>
        <w:rPr/>
        <w:t>so</w:t>
      </w:r>
      <w:r>
        <w:rPr>
          <w:spacing w:val="40"/>
        </w:rPr>
        <w:t> </w:t>
      </w:r>
      <w:r>
        <w:rPr/>
        <w:t>as</w:t>
      </w:r>
      <w:r>
        <w:rPr>
          <w:spacing w:val="40"/>
        </w:rPr>
        <w:t> </w:t>
      </w:r>
      <w:r>
        <w:rPr/>
        <w:t>to</w:t>
      </w:r>
      <w:r>
        <w:rPr>
          <w:spacing w:val="80"/>
        </w:rPr>
        <w:t> </w:t>
      </w:r>
      <w:r>
        <w:rPr/>
        <w:t>strengthen African Unity through sport,</w:t>
      </w:r>
    </w:p>
    <w:p>
      <w:pPr>
        <w:pStyle w:val="BodyText"/>
        <w:spacing w:before="1"/>
        <w:rPr>
          <w:sz w:val="36"/>
        </w:rPr>
      </w:pPr>
    </w:p>
    <w:p>
      <w:pPr>
        <w:pStyle w:val="ListParagraph"/>
        <w:numPr>
          <w:ilvl w:val="0"/>
          <w:numId w:val="1"/>
        </w:numPr>
        <w:tabs>
          <w:tab w:pos="1185" w:val="left" w:leader="none"/>
        </w:tabs>
        <w:spacing w:line="360" w:lineRule="auto" w:before="0" w:after="0"/>
        <w:ind w:left="1184" w:right="136" w:hanging="360"/>
        <w:jc w:val="left"/>
        <w:rPr>
          <w:sz w:val="24"/>
        </w:rPr>
      </w:pPr>
      <w:r>
        <w:rPr>
          <w:b/>
          <w:sz w:val="24"/>
        </w:rPr>
        <w:t>EXPRESSES </w:t>
      </w:r>
      <w:r>
        <w:rPr>
          <w:sz w:val="24"/>
        </w:rPr>
        <w:t>satisfaction with the results achieved within the framework</w:t>
      </w:r>
      <w:r>
        <w:rPr>
          <w:spacing w:val="-6"/>
          <w:sz w:val="24"/>
        </w:rPr>
        <w:t> </w:t>
      </w:r>
      <w:r>
        <w:rPr>
          <w:sz w:val="24"/>
        </w:rPr>
        <w:t>of</w:t>
      </w:r>
      <w:r>
        <w:rPr>
          <w:spacing w:val="-6"/>
          <w:sz w:val="24"/>
        </w:rPr>
        <w:t> </w:t>
      </w:r>
      <w:r>
        <w:rPr>
          <w:sz w:val="24"/>
        </w:rPr>
        <w:t>African co-operation in the field of Sport;</w:t>
      </w:r>
    </w:p>
    <w:p>
      <w:pPr>
        <w:spacing w:after="0" w:line="360" w:lineRule="auto"/>
        <w:jc w:val="left"/>
        <w:rPr>
          <w:sz w:val="24"/>
        </w:rPr>
        <w:sectPr>
          <w:headerReference w:type="default" r:id="rId5"/>
          <w:type w:val="continuous"/>
          <w:pgSz w:w="12240" w:h="15840"/>
          <w:pgMar w:header="727" w:footer="0" w:top="1320" w:bottom="280" w:left="1340" w:right="1360"/>
          <w:pgNumType w:start="1"/>
        </w:sectPr>
      </w:pPr>
    </w:p>
    <w:p>
      <w:pPr>
        <w:pStyle w:val="ListParagraph"/>
        <w:numPr>
          <w:ilvl w:val="0"/>
          <w:numId w:val="1"/>
        </w:numPr>
        <w:tabs>
          <w:tab w:pos="1185" w:val="left" w:leader="none"/>
        </w:tabs>
        <w:spacing w:line="360" w:lineRule="auto" w:before="80" w:after="0"/>
        <w:ind w:left="1184" w:right="132" w:hanging="360"/>
        <w:jc w:val="both"/>
        <w:rPr>
          <w:sz w:val="24"/>
        </w:rPr>
      </w:pPr>
      <w:r>
        <w:rPr>
          <w:b/>
          <w:sz w:val="24"/>
        </w:rPr>
        <w:t>RECOMMENDS </w:t>
      </w:r>
      <w:r>
        <w:rPr>
          <w:sz w:val="24"/>
        </w:rPr>
        <w:t>that the Supreme Council of Sport in Africa Be granted the status of an OAU Specialised Institution in the field of Sport;</w:t>
      </w:r>
    </w:p>
    <w:p>
      <w:pPr>
        <w:pStyle w:val="BodyText"/>
        <w:spacing w:before="7"/>
        <w:rPr>
          <w:sz w:val="35"/>
        </w:rPr>
      </w:pPr>
    </w:p>
    <w:p>
      <w:pPr>
        <w:pStyle w:val="ListParagraph"/>
        <w:numPr>
          <w:ilvl w:val="0"/>
          <w:numId w:val="1"/>
        </w:numPr>
        <w:tabs>
          <w:tab w:pos="1185" w:val="left" w:leader="none"/>
        </w:tabs>
        <w:spacing w:line="360" w:lineRule="auto" w:before="1" w:after="0"/>
        <w:ind w:left="1184" w:right="109" w:hanging="360"/>
        <w:jc w:val="both"/>
        <w:rPr>
          <w:sz w:val="24"/>
        </w:rPr>
      </w:pPr>
      <w:r>
        <w:rPr>
          <w:b/>
          <w:sz w:val="24"/>
        </w:rPr>
        <w:t>CALLS ON </w:t>
      </w:r>
      <w:r>
        <w:rPr>
          <w:sz w:val="24"/>
        </w:rPr>
        <w:t>the OAU Administrative Secretary-General and the SCSA Executive Committee to undertake negotiations for the signing of a co-operation convention between the OAU and the SOSA.</w:t>
      </w:r>
    </w:p>
    <w:sectPr>
      <w:pgSz w:w="12240" w:h="15840"/>
      <w:pgMar w:header="727" w:footer="0" w:top="132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4.119995pt;margin-top:35.346642pt;width:107.1pt;height:15.3pt;mso-position-horizontal-relative:page;mso-position-vertical-relative:page;z-index:-15758848" type="#_x0000_t202" id="docshape1" filled="false" stroked="false">
          <v:textbox inset="0,0,0,0">
            <w:txbxContent>
              <w:p>
                <w:pPr>
                  <w:pStyle w:val="BodyText"/>
                  <w:spacing w:before="10"/>
                  <w:ind w:left="20"/>
                </w:pPr>
                <w:r>
                  <w:rPr/>
                  <w:t>CM/Res.</w:t>
                </w:r>
                <w:r>
                  <w:rPr>
                    <w:spacing w:val="-4"/>
                  </w:rPr>
                  <w:t> </w:t>
                </w:r>
                <w:r>
                  <w:rPr/>
                  <w:t>578</w:t>
                </w:r>
                <w:r>
                  <w:rPr>
                    <w:spacing w:val="-6"/>
                  </w:rPr>
                  <w:t> </w:t>
                </w:r>
                <w:r>
                  <w:rPr>
                    <w:spacing w:val="-2"/>
                  </w:rPr>
                  <w:t>(XXIX)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1"/>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16" w:hanging="361"/>
      </w:pPr>
      <w:rPr>
        <w:rFonts w:hint="default"/>
        <w:lang w:val="en-US" w:eastAsia="en-US" w:bidi="ar-SA"/>
      </w:rPr>
    </w:lvl>
    <w:lvl w:ilvl="2">
      <w:start w:val="0"/>
      <w:numFmt w:val="bullet"/>
      <w:lvlText w:val="•"/>
      <w:lvlJc w:val="left"/>
      <w:pPr>
        <w:ind w:left="2852" w:hanging="361"/>
      </w:pPr>
      <w:rPr>
        <w:rFonts w:hint="default"/>
        <w:lang w:val="en-US" w:eastAsia="en-US" w:bidi="ar-SA"/>
      </w:rPr>
    </w:lvl>
    <w:lvl w:ilvl="3">
      <w:start w:val="0"/>
      <w:numFmt w:val="bullet"/>
      <w:lvlText w:val="•"/>
      <w:lvlJc w:val="left"/>
      <w:pPr>
        <w:ind w:left="3688" w:hanging="361"/>
      </w:pPr>
      <w:rPr>
        <w:rFonts w:hint="default"/>
        <w:lang w:val="en-US" w:eastAsia="en-US" w:bidi="ar-SA"/>
      </w:rPr>
    </w:lvl>
    <w:lvl w:ilvl="4">
      <w:start w:val="0"/>
      <w:numFmt w:val="bullet"/>
      <w:lvlText w:val="•"/>
      <w:lvlJc w:val="left"/>
      <w:pPr>
        <w:ind w:left="4524" w:hanging="361"/>
      </w:pPr>
      <w:rPr>
        <w:rFonts w:hint="default"/>
        <w:lang w:val="en-US" w:eastAsia="en-US" w:bidi="ar-SA"/>
      </w:rPr>
    </w:lvl>
    <w:lvl w:ilvl="5">
      <w:start w:val="0"/>
      <w:numFmt w:val="bullet"/>
      <w:lvlText w:val="•"/>
      <w:lvlJc w:val="left"/>
      <w:pPr>
        <w:ind w:left="5360" w:hanging="361"/>
      </w:pPr>
      <w:rPr>
        <w:rFonts w:hint="default"/>
        <w:lang w:val="en-US" w:eastAsia="en-US" w:bidi="ar-SA"/>
      </w:rPr>
    </w:lvl>
    <w:lvl w:ilvl="6">
      <w:start w:val="0"/>
      <w:numFmt w:val="bullet"/>
      <w:lvlText w:val="•"/>
      <w:lvlJc w:val="left"/>
      <w:pPr>
        <w:ind w:left="6196" w:hanging="361"/>
      </w:pPr>
      <w:rPr>
        <w:rFonts w:hint="default"/>
        <w:lang w:val="en-US" w:eastAsia="en-US" w:bidi="ar-SA"/>
      </w:rPr>
    </w:lvl>
    <w:lvl w:ilvl="7">
      <w:start w:val="0"/>
      <w:numFmt w:val="bullet"/>
      <w:lvlText w:val="•"/>
      <w:lvlJc w:val="left"/>
      <w:pPr>
        <w:ind w:left="7032" w:hanging="361"/>
      </w:pPr>
      <w:rPr>
        <w:rFonts w:hint="default"/>
        <w:lang w:val="en-US" w:eastAsia="en-US" w:bidi="ar-SA"/>
      </w:rPr>
    </w:lvl>
    <w:lvl w:ilvl="8">
      <w:start w:val="0"/>
      <w:numFmt w:val="bullet"/>
      <w:lvlText w:val="•"/>
      <w:lvlJc w:val="left"/>
      <w:pPr>
        <w:ind w:left="7868"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4"/>
      <w:ind w:left="1007" w:hanging="217"/>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09"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2023-06-07T08:53:45Z</dcterms:created>
  <dcterms:modified xsi:type="dcterms:W3CDTF">2023-06-07T08:53:45Z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