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579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MALABO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OFFICE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Libreville,</w:t>
      </w:r>
      <w:r>
        <w:rPr>
          <w:spacing w:val="-2"/>
        </w:rPr>
        <w:t> </w:t>
      </w:r>
      <w:r>
        <w:rPr/>
        <w:t>Gabon,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June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7" w:firstLine="720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report of the Secretary-General on the state of the Office responsible for OAU assistance to the Republic of Equotorial Guinea,,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1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extraordinary circumstances which led to the setting up of the Office in 1969 following the manoeuvres of</w:t>
      </w:r>
      <w:r>
        <w:rPr>
          <w:spacing w:val="40"/>
        </w:rPr>
        <w:t> </w:t>
      </w:r>
      <w:r>
        <w:rPr/>
        <w:t>imperialists to create instability in the young State of Equotorial Guinea,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50" w:firstLine="720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that these circumstances no longer exist and that the Republic of Equatorial Guinea now has the structures for bilateral and multilateral relations, which enable it to arrange directly the inter-African assistance</w:t>
      </w:r>
      <w:r>
        <w:rPr>
          <w:spacing w:val="-1"/>
        </w:rPr>
        <w:t> </w:t>
      </w:r>
      <w:r>
        <w:rPr/>
        <w:t>she requires;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72" w:firstLine="719"/>
        <w:jc w:val="both"/>
      </w:pPr>
      <w:r>
        <w:rPr>
          <w:b/>
          <w:u w:val="single"/>
        </w:rPr>
        <w:t>Noting further</w:t>
      </w:r>
      <w:r>
        <w:rPr>
          <w:b/>
        </w:rPr>
        <w:t> </w:t>
      </w:r>
      <w:r>
        <w:rPr/>
        <w:t>that the Office’s activities in the field of assistance have become almost </w:t>
      </w:r>
      <w:r>
        <w:rPr>
          <w:spacing w:val="-2"/>
        </w:rPr>
        <w:t>non-existent,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0"/>
        <w:ind w:left="824"/>
      </w:pPr>
      <w:r>
        <w:rPr>
          <w:b/>
          <w:u w:val="single"/>
        </w:rPr>
        <w:t>Recalling</w:t>
      </w:r>
      <w:r>
        <w:rPr>
          <w:b/>
          <w:spacing w:val="53"/>
        </w:rPr>
        <w:t> </w:t>
      </w:r>
      <w:r>
        <w:rPr/>
        <w:t>its</w:t>
      </w:r>
      <w:r>
        <w:rPr>
          <w:spacing w:val="51"/>
        </w:rPr>
        <w:t> </w:t>
      </w:r>
      <w:r>
        <w:rPr/>
        <w:t>recommendation</w:t>
      </w:r>
      <w:r>
        <w:rPr>
          <w:spacing w:val="53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Twenty-Seventh</w:t>
      </w:r>
      <w:r>
        <w:rPr>
          <w:spacing w:val="50"/>
        </w:rPr>
        <w:t> </w:t>
      </w:r>
      <w:r>
        <w:rPr/>
        <w:t>Session</w:t>
      </w:r>
      <w:r>
        <w:rPr>
          <w:spacing w:val="51"/>
        </w:rPr>
        <w:t> </w:t>
      </w:r>
      <w:r>
        <w:rPr/>
        <w:t>on</w:t>
      </w:r>
      <w:r>
        <w:rPr>
          <w:spacing w:val="50"/>
        </w:rPr>
        <w:t> </w:t>
      </w:r>
      <w:r>
        <w:rPr/>
        <w:t>the</w:t>
      </w:r>
      <w:r>
        <w:rPr>
          <w:spacing w:val="48"/>
        </w:rPr>
        <w:t> </w:t>
      </w:r>
      <w:r>
        <w:rPr/>
        <w:t>closure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5"/>
        </w:rPr>
        <w:t>the</w:t>
      </w:r>
    </w:p>
    <w:p>
      <w:pPr>
        <w:pStyle w:val="BodyText"/>
        <w:spacing w:before="141"/>
        <w:ind w:left="104"/>
      </w:pPr>
      <w:r>
        <w:rPr>
          <w:spacing w:val="-2"/>
        </w:rPr>
        <w:t>Office,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9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RECOMMENDS</w:t>
      </w:r>
      <w:r>
        <w:rPr>
          <w:b/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closure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office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MALABO;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2" w:hanging="360"/>
        <w:jc w:val="both"/>
        <w:rPr>
          <w:sz w:val="24"/>
        </w:rPr>
      </w:pPr>
      <w:r>
        <w:rPr>
          <w:b/>
          <w:sz w:val="24"/>
        </w:rPr>
        <w:t>CALLS </w:t>
      </w:r>
      <w:r>
        <w:rPr>
          <w:sz w:val="24"/>
        </w:rPr>
        <w:t>on the Secretary-General to take, in consultation with the Government of Equatorial Guinea, the necessary steps to give effect to this resolution as early as </w:t>
      </w:r>
      <w:r>
        <w:rPr>
          <w:spacing w:val="-2"/>
          <w:sz w:val="24"/>
        </w:rPr>
        <w:t>possible.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30" w:right="2454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2023-06-07T08:53:48Z</dcterms:created>
  <dcterms:modified xsi:type="dcterms:W3CDTF">2023-06-07T08:53:48Z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