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9"/>
          <w:u w:val="single"/>
        </w:rPr>
        <w:t> </w:t>
      </w:r>
      <w:r>
        <w:rPr>
          <w:u w:val="single"/>
        </w:rPr>
        <w:t>ON</w:t>
      </w:r>
      <w:r>
        <w:rPr>
          <w:spacing w:val="-8"/>
          <w:u w:val="single"/>
        </w:rPr>
        <w:t> </w:t>
      </w:r>
      <w:r>
        <w:rPr>
          <w:u w:val="single"/>
        </w:rPr>
        <w:t>THE</w:t>
      </w:r>
      <w:r>
        <w:rPr>
          <w:spacing w:val="-9"/>
          <w:u w:val="single"/>
        </w:rPr>
        <w:t> </w:t>
      </w:r>
      <w:r>
        <w:rPr>
          <w:u w:val="single"/>
        </w:rPr>
        <w:t>QUESTION</w:t>
      </w:r>
      <w:r>
        <w:rPr>
          <w:spacing w:val="-8"/>
          <w:u w:val="single"/>
        </w:rPr>
        <w:t> </w:t>
      </w:r>
      <w:r>
        <w:rPr>
          <w:u w:val="single"/>
        </w:rPr>
        <w:t>OF</w:t>
      </w:r>
      <w:r>
        <w:rPr>
          <w:spacing w:val="-7"/>
          <w:u w:val="single"/>
        </w:rPr>
        <w:t> </w:t>
      </w:r>
      <w:r>
        <w:rPr>
          <w:spacing w:val="-2"/>
          <w:u w:val="single"/>
        </w:rPr>
        <w:t>PALESTINE</w:t>
      </w:r>
    </w:p>
    <w:p>
      <w:pPr>
        <w:pStyle w:val="BodyText"/>
        <w:rPr>
          <w:b/>
          <w:sz w:val="20"/>
        </w:rPr>
      </w:pPr>
    </w:p>
    <w:p>
      <w:pPr>
        <w:pStyle w:val="BodyText"/>
        <w:spacing w:before="6"/>
        <w:rPr>
          <w:b/>
          <w:sz w:val="19"/>
        </w:rPr>
      </w:pPr>
    </w:p>
    <w:p>
      <w:pPr>
        <w:pStyle w:val="BodyText"/>
        <w:spacing w:line="360" w:lineRule="auto" w:before="90"/>
        <w:ind w:left="104" w:right="170" w:firstLine="720"/>
        <w:jc w:val="both"/>
      </w:pPr>
      <w:r>
        <w:rPr/>
        <w:t>The Council of Ministers of the Organization of African Unity meeting in its Twenty- Ninth</w:t>
      </w:r>
      <w:r>
        <w:rPr>
          <w:spacing w:val="-4"/>
        </w:rPr>
        <w:t> </w:t>
      </w:r>
      <w:r>
        <w:rPr/>
        <w:t>Ordinary</w:t>
      </w:r>
      <w:r>
        <w:rPr>
          <w:spacing w:val="-5"/>
        </w:rPr>
        <w:t> </w:t>
      </w:r>
      <w:r>
        <w:rPr/>
        <w:t>Session</w:t>
      </w:r>
      <w:r>
        <w:rPr>
          <w:spacing w:val="-2"/>
        </w:rPr>
        <w:t> </w:t>
      </w:r>
      <w:r>
        <w:rPr/>
        <w:t>in</w:t>
      </w:r>
      <w:r>
        <w:rPr>
          <w:spacing w:val="-2"/>
        </w:rPr>
        <w:t> </w:t>
      </w:r>
      <w:r>
        <w:rPr/>
        <w:t>Libreville,</w:t>
      </w:r>
      <w:r>
        <w:rPr>
          <w:spacing w:val="-2"/>
        </w:rPr>
        <w:t> </w:t>
      </w:r>
      <w:r>
        <w:rPr/>
        <w:t>Gabon,</w:t>
      </w:r>
      <w:r>
        <w:rPr>
          <w:spacing w:val="-2"/>
        </w:rPr>
        <w:t> </w:t>
      </w:r>
      <w:r>
        <w:rPr/>
        <w:t>from</w:t>
      </w:r>
      <w:r>
        <w:rPr>
          <w:spacing w:val="-4"/>
        </w:rPr>
        <w:t> </w:t>
      </w:r>
      <w:r>
        <w:rPr/>
        <w:t>23</w:t>
      </w:r>
      <w:r>
        <w:rPr>
          <w:spacing w:val="-25"/>
        </w:rPr>
        <w:t> </w:t>
      </w:r>
      <w:r>
        <w:rPr>
          <w:vertAlign w:val="superscript"/>
        </w:rPr>
        <w:t>rd</w:t>
      </w:r>
      <w:r>
        <w:rPr>
          <w:spacing w:val="-3"/>
          <w:vertAlign w:val="baseline"/>
        </w:rPr>
        <w:t> </w:t>
      </w:r>
      <w:r>
        <w:rPr>
          <w:vertAlign w:val="baseline"/>
        </w:rPr>
        <w:t>June</w:t>
      </w:r>
      <w:r>
        <w:rPr>
          <w:spacing w:val="-2"/>
          <w:vertAlign w:val="baseline"/>
        </w:rPr>
        <w:t> </w:t>
      </w:r>
      <w:r>
        <w:rPr>
          <w:vertAlign w:val="baseline"/>
        </w:rPr>
        <w:t>to</w:t>
      </w:r>
      <w:r>
        <w:rPr>
          <w:spacing w:val="-2"/>
          <w:vertAlign w:val="baseline"/>
        </w:rPr>
        <w:t> </w:t>
      </w:r>
      <w:r>
        <w:rPr>
          <w:vertAlign w:val="baseline"/>
        </w:rPr>
        <w:t>3</w:t>
      </w:r>
      <w:r>
        <w:rPr>
          <w:spacing w:val="-2"/>
          <w:vertAlign w:val="baseline"/>
        </w:rPr>
        <w:t> </w:t>
      </w:r>
      <w:r>
        <w:rPr>
          <w:vertAlign w:val="baseline"/>
        </w:rPr>
        <w:t>July, 1977,</w:t>
      </w:r>
    </w:p>
    <w:p>
      <w:pPr>
        <w:pStyle w:val="BodyText"/>
        <w:spacing w:before="1"/>
        <w:rPr>
          <w:sz w:val="36"/>
        </w:rPr>
      </w:pPr>
    </w:p>
    <w:p>
      <w:pPr>
        <w:pStyle w:val="BodyText"/>
        <w:spacing w:line="360" w:lineRule="auto"/>
        <w:ind w:left="104" w:right="157" w:firstLine="719"/>
        <w:jc w:val="both"/>
      </w:pPr>
      <w:r>
        <w:rPr>
          <w:b/>
          <w:u w:val="single"/>
        </w:rPr>
        <w:t>Having considered</w:t>
      </w:r>
      <w:r>
        <w:rPr>
          <w:b/>
        </w:rPr>
        <w:t> </w:t>
      </w:r>
      <w:r>
        <w:rPr/>
        <w:t>the report of the Administrative Secretary-General of the OAU on the Palestine question (Document CM/831 (XXIX),</w:t>
      </w:r>
    </w:p>
    <w:p>
      <w:pPr>
        <w:pStyle w:val="BodyText"/>
        <w:spacing w:before="1"/>
        <w:rPr>
          <w:sz w:val="36"/>
        </w:rPr>
      </w:pPr>
    </w:p>
    <w:p>
      <w:pPr>
        <w:pStyle w:val="BodyText"/>
        <w:spacing w:line="360" w:lineRule="auto"/>
        <w:ind w:left="104" w:right="121" w:firstLine="720"/>
        <w:jc w:val="both"/>
      </w:pPr>
      <w:r>
        <w:rPr>
          <w:b/>
          <w:u w:val="single"/>
        </w:rPr>
        <w:t>Recalling</w:t>
      </w:r>
      <w:r>
        <w:rPr>
          <w:b/>
        </w:rPr>
        <w:t> </w:t>
      </w:r>
      <w:r>
        <w:rPr/>
        <w:t>the resolution adopted by previous sessions of the Assembly of Head of State and Government and the Council of Ministers on the Palestine question and, in particular, AHG/Res. 77 (XII), CM/Res. 480 (XXVI) and CM/Res. 482 (XXCII) and CM/Res. 529 </w:t>
      </w:r>
      <w:r>
        <w:rPr>
          <w:spacing w:val="-2"/>
        </w:rPr>
        <w:t>(XXVIII),</w:t>
      </w:r>
    </w:p>
    <w:p>
      <w:pPr>
        <w:pStyle w:val="BodyText"/>
        <w:spacing w:before="11"/>
        <w:rPr>
          <w:sz w:val="35"/>
        </w:rPr>
      </w:pPr>
    </w:p>
    <w:p>
      <w:pPr>
        <w:pStyle w:val="BodyText"/>
        <w:spacing w:line="360" w:lineRule="auto"/>
        <w:ind w:left="104" w:right="137" w:firstLine="720"/>
        <w:jc w:val="both"/>
      </w:pPr>
      <w:r>
        <w:rPr>
          <w:b/>
          <w:u w:val="single"/>
        </w:rPr>
        <w:t>Recalling further</w:t>
      </w:r>
      <w:r>
        <w:rPr>
          <w:b/>
        </w:rPr>
        <w:t> </w:t>
      </w:r>
      <w:r>
        <w:rPr/>
        <w:t>the report of the </w:t>
      </w:r>
      <w:r>
        <w:rPr>
          <w:u w:val="single"/>
        </w:rPr>
        <w:t>Ad-Hoc</w:t>
      </w:r>
      <w:r>
        <w:rPr/>
        <w:t> Committee for the exercise by Palestinian People of their inalienable rights which reaffirms the legitimate and inalienable rights of the Palestinian People to their national homeland in Palestine and the establishment of their independent and sovereign State,</w:t>
      </w:r>
    </w:p>
    <w:p>
      <w:pPr>
        <w:pStyle w:val="BodyText"/>
        <w:spacing w:before="10"/>
        <w:rPr>
          <w:sz w:val="35"/>
        </w:rPr>
      </w:pPr>
    </w:p>
    <w:p>
      <w:pPr>
        <w:pStyle w:val="BodyText"/>
        <w:spacing w:line="360" w:lineRule="auto"/>
        <w:ind w:left="104" w:right="163" w:firstLine="720"/>
        <w:jc w:val="both"/>
      </w:pPr>
      <w:r>
        <w:rPr>
          <w:b/>
          <w:u w:val="single"/>
        </w:rPr>
        <w:t>Guided</w:t>
      </w:r>
      <w:r>
        <w:rPr>
          <w:b/>
        </w:rPr>
        <w:t> </w:t>
      </w:r>
      <w:r>
        <w:rPr/>
        <w:t>by</w:t>
      </w:r>
      <w:r>
        <w:rPr>
          <w:spacing w:val="-1"/>
        </w:rPr>
        <w:t> </w:t>
      </w:r>
      <w:r>
        <w:rPr/>
        <w:t>the</w:t>
      </w:r>
      <w:r>
        <w:rPr>
          <w:spacing w:val="-1"/>
        </w:rPr>
        <w:t> </w:t>
      </w:r>
      <w:r>
        <w:rPr/>
        <w:t>principles</w:t>
      </w:r>
      <w:r>
        <w:rPr>
          <w:spacing w:val="-1"/>
        </w:rPr>
        <w:t> </w:t>
      </w:r>
      <w:r>
        <w:rPr/>
        <w:t>and</w:t>
      </w:r>
      <w:r>
        <w:rPr>
          <w:spacing w:val="-1"/>
        </w:rPr>
        <w:t> </w:t>
      </w:r>
      <w:r>
        <w:rPr/>
        <w:t>objectives</w:t>
      </w:r>
      <w:r>
        <w:rPr>
          <w:spacing w:val="-4"/>
        </w:rPr>
        <w:t> </w:t>
      </w:r>
      <w:r>
        <w:rPr/>
        <w:t>of</w:t>
      </w:r>
      <w:r>
        <w:rPr>
          <w:spacing w:val="-4"/>
        </w:rPr>
        <w:t> </w:t>
      </w:r>
      <w:r>
        <w:rPr/>
        <w:t>the</w:t>
      </w:r>
      <w:r>
        <w:rPr>
          <w:spacing w:val="-4"/>
        </w:rPr>
        <w:t> </w:t>
      </w:r>
      <w:r>
        <w:rPr/>
        <w:t>Charters</w:t>
      </w:r>
      <w:r>
        <w:rPr>
          <w:spacing w:val="-4"/>
        </w:rPr>
        <w:t> </w:t>
      </w:r>
      <w:r>
        <w:rPr/>
        <w:t>of</w:t>
      </w:r>
      <w:r>
        <w:rPr>
          <w:spacing w:val="-4"/>
        </w:rPr>
        <w:t> </w:t>
      </w:r>
      <w:r>
        <w:rPr/>
        <w:t>the</w:t>
      </w:r>
      <w:r>
        <w:rPr>
          <w:spacing w:val="-4"/>
        </w:rPr>
        <w:t> </w:t>
      </w:r>
      <w:r>
        <w:rPr/>
        <w:t>OAU</w:t>
      </w:r>
      <w:r>
        <w:rPr>
          <w:spacing w:val="-4"/>
        </w:rPr>
        <w:t> </w:t>
      </w:r>
      <w:r>
        <w:rPr/>
        <w:t>and</w:t>
      </w:r>
      <w:r>
        <w:rPr>
          <w:spacing w:val="-4"/>
        </w:rPr>
        <w:t> </w:t>
      </w:r>
      <w:r>
        <w:rPr/>
        <w:t>the</w:t>
      </w:r>
      <w:r>
        <w:rPr>
          <w:spacing w:val="-4"/>
        </w:rPr>
        <w:t> </w:t>
      </w:r>
      <w:r>
        <w:rPr/>
        <w:t>U.N.</w:t>
      </w:r>
      <w:r>
        <w:rPr>
          <w:spacing w:val="-2"/>
        </w:rPr>
        <w:t> </w:t>
      </w:r>
      <w:r>
        <w:rPr/>
        <w:t>and</w:t>
      </w:r>
      <w:r>
        <w:rPr>
          <w:spacing w:val="-4"/>
        </w:rPr>
        <w:t> </w:t>
      </w:r>
      <w:r>
        <w:rPr/>
        <w:t>the common</w:t>
      </w:r>
      <w:r>
        <w:rPr>
          <w:spacing w:val="-2"/>
        </w:rPr>
        <w:t> </w:t>
      </w:r>
      <w:r>
        <w:rPr/>
        <w:t>destiny</w:t>
      </w:r>
      <w:r>
        <w:rPr>
          <w:spacing w:val="-5"/>
        </w:rPr>
        <w:t> </w:t>
      </w:r>
      <w:r>
        <w:rPr/>
        <w:t>of</w:t>
      </w:r>
      <w:r>
        <w:rPr>
          <w:spacing w:val="-5"/>
        </w:rPr>
        <w:t> </w:t>
      </w:r>
      <w:r>
        <w:rPr/>
        <w:t>the</w:t>
      </w:r>
      <w:r>
        <w:rPr>
          <w:spacing w:val="-5"/>
        </w:rPr>
        <w:t> </w:t>
      </w:r>
      <w:r>
        <w:rPr/>
        <w:t>African</w:t>
      </w:r>
      <w:r>
        <w:rPr>
          <w:spacing w:val="-2"/>
        </w:rPr>
        <w:t> </w:t>
      </w:r>
      <w:r>
        <w:rPr/>
        <w:t>and</w:t>
      </w:r>
      <w:r>
        <w:rPr>
          <w:spacing w:val="-5"/>
        </w:rPr>
        <w:t> </w:t>
      </w:r>
      <w:r>
        <w:rPr/>
        <w:t>Arab</w:t>
      </w:r>
      <w:r>
        <w:rPr>
          <w:spacing w:val="-5"/>
        </w:rPr>
        <w:t> </w:t>
      </w:r>
      <w:r>
        <w:rPr/>
        <w:t>peoples</w:t>
      </w:r>
      <w:r>
        <w:rPr>
          <w:spacing w:val="-5"/>
        </w:rPr>
        <w:t> </w:t>
      </w:r>
      <w:r>
        <w:rPr/>
        <w:t>in</w:t>
      </w:r>
      <w:r>
        <w:rPr>
          <w:spacing w:val="-2"/>
        </w:rPr>
        <w:t> </w:t>
      </w:r>
      <w:r>
        <w:rPr/>
        <w:t>their</w:t>
      </w:r>
      <w:r>
        <w:rPr>
          <w:spacing w:val="-2"/>
        </w:rPr>
        <w:t> </w:t>
      </w:r>
      <w:r>
        <w:rPr/>
        <w:t>continues</w:t>
      </w:r>
      <w:r>
        <w:rPr>
          <w:spacing w:val="-5"/>
        </w:rPr>
        <w:t> </w:t>
      </w:r>
      <w:r>
        <w:rPr/>
        <w:t>joint</w:t>
      </w:r>
      <w:r>
        <w:rPr>
          <w:spacing w:val="-4"/>
        </w:rPr>
        <w:t> </w:t>
      </w:r>
      <w:r>
        <w:rPr/>
        <w:t>struggle</w:t>
      </w:r>
      <w:r>
        <w:rPr>
          <w:spacing w:val="-5"/>
        </w:rPr>
        <w:t> </w:t>
      </w:r>
      <w:r>
        <w:rPr/>
        <w:t>to</w:t>
      </w:r>
      <w:r>
        <w:rPr>
          <w:spacing w:val="-5"/>
        </w:rPr>
        <w:t> </w:t>
      </w:r>
      <w:r>
        <w:rPr/>
        <w:t>recover</w:t>
      </w:r>
      <w:r>
        <w:rPr>
          <w:spacing w:val="-2"/>
        </w:rPr>
        <w:t> </w:t>
      </w:r>
      <w:r>
        <w:rPr/>
        <w:t>their land and for the exercise of their inalienable rights, to freedom, peace, self determination and </w:t>
      </w:r>
      <w:r>
        <w:rPr>
          <w:spacing w:val="-2"/>
        </w:rPr>
        <w:t>independence,</w:t>
      </w:r>
    </w:p>
    <w:p>
      <w:pPr>
        <w:pStyle w:val="BodyText"/>
        <w:spacing w:before="11"/>
        <w:rPr>
          <w:sz w:val="35"/>
        </w:rPr>
      </w:pPr>
    </w:p>
    <w:p>
      <w:pPr>
        <w:pStyle w:val="BodyText"/>
        <w:spacing w:line="360" w:lineRule="auto"/>
        <w:ind w:left="104" w:right="152" w:firstLine="720"/>
        <w:jc w:val="both"/>
      </w:pPr>
      <w:r>
        <w:rPr>
          <w:b/>
          <w:u w:val="single"/>
        </w:rPr>
        <w:t>Having examined</w:t>
      </w:r>
      <w:r>
        <w:rPr>
          <w:b/>
        </w:rPr>
        <w:t> </w:t>
      </w:r>
      <w:r>
        <w:rPr/>
        <w:t>the developments of the Palestinian cause and the serious situation which prevails due to the continuation of the Israeli occupation of the Arab countries and its usurpation of the legitimate and inalienable rights, to freedom, peace, self determination and </w:t>
      </w:r>
      <w:r>
        <w:rPr>
          <w:spacing w:val="-2"/>
        </w:rPr>
        <w:t>independence,</w:t>
      </w:r>
    </w:p>
    <w:p>
      <w:pPr>
        <w:pStyle w:val="BodyText"/>
        <w:spacing w:before="3"/>
        <w:rPr>
          <w:sz w:val="36"/>
        </w:rPr>
      </w:pPr>
    </w:p>
    <w:p>
      <w:pPr>
        <w:pStyle w:val="BodyText"/>
        <w:spacing w:line="360" w:lineRule="auto" w:before="1"/>
        <w:ind w:left="104" w:right="154" w:firstLine="720"/>
        <w:jc w:val="both"/>
      </w:pPr>
      <w:r>
        <w:rPr>
          <w:b/>
          <w:u w:val="single"/>
        </w:rPr>
        <w:t>Having examined</w:t>
      </w:r>
      <w:r>
        <w:rPr>
          <w:b/>
        </w:rPr>
        <w:t> </w:t>
      </w:r>
      <w:r>
        <w:rPr/>
        <w:t>the developments of the Palestinian course and the serious situation which prevails due to the continuation of the Israeli occupation of the Arab counties and its usurpation of the legitimate and inalienable rights of the Palestinian People, its refusal to abide by the resolution of the General assembly,</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spacing w:before="4"/>
        <w:rPr>
          <w:sz w:val="22"/>
        </w:rPr>
      </w:pPr>
    </w:p>
    <w:p>
      <w:pPr>
        <w:pStyle w:val="BodyText"/>
        <w:spacing w:line="360" w:lineRule="auto" w:before="1"/>
        <w:ind w:left="104" w:right="149" w:firstLine="720"/>
        <w:jc w:val="both"/>
      </w:pPr>
      <w:r>
        <w:rPr>
          <w:b/>
          <w:u w:val="single"/>
        </w:rPr>
        <w:t>Gravely concerned</w:t>
      </w:r>
      <w:r>
        <w:rPr>
          <w:b/>
        </w:rPr>
        <w:t> </w:t>
      </w:r>
      <w:r>
        <w:rPr/>
        <w:t>about the reaffirmation of the aggressive designs and the policy of expansion reiterated in the statement made by all Israeli Governments including those by the newly formed Israeli Government and, in particular, its vicious and expansionist plans in the West Bank of the Jordan River and Gaza and its refusal to recognize the national legitimate rights</w:t>
      </w:r>
      <w:r>
        <w:rPr>
          <w:spacing w:val="-5"/>
        </w:rPr>
        <w:t> </w:t>
      </w:r>
      <w:r>
        <w:rPr/>
        <w:t>of</w:t>
      </w:r>
      <w:r>
        <w:rPr>
          <w:spacing w:val="-5"/>
        </w:rPr>
        <w:t> </w:t>
      </w:r>
      <w:r>
        <w:rPr/>
        <w:t>the</w:t>
      </w:r>
      <w:r>
        <w:rPr>
          <w:spacing w:val="-5"/>
        </w:rPr>
        <w:t> </w:t>
      </w:r>
      <w:r>
        <w:rPr/>
        <w:t>Palestinian</w:t>
      </w:r>
      <w:r>
        <w:rPr>
          <w:spacing w:val="-3"/>
        </w:rPr>
        <w:t> </w:t>
      </w:r>
      <w:r>
        <w:rPr/>
        <w:t>People</w:t>
      </w:r>
      <w:r>
        <w:rPr>
          <w:spacing w:val="-5"/>
        </w:rPr>
        <w:t> </w:t>
      </w:r>
      <w:r>
        <w:rPr/>
        <w:t>and</w:t>
      </w:r>
      <w:r>
        <w:rPr>
          <w:spacing w:val="-5"/>
        </w:rPr>
        <w:t> </w:t>
      </w:r>
      <w:r>
        <w:rPr/>
        <w:t>the</w:t>
      </w:r>
      <w:r>
        <w:rPr>
          <w:spacing w:val="-5"/>
        </w:rPr>
        <w:t> </w:t>
      </w:r>
      <w:r>
        <w:rPr/>
        <w:t>exercise</w:t>
      </w:r>
      <w:r>
        <w:rPr>
          <w:spacing w:val="-5"/>
        </w:rPr>
        <w:t> </w:t>
      </w:r>
      <w:r>
        <w:rPr/>
        <w:t>of</w:t>
      </w:r>
      <w:r>
        <w:rPr>
          <w:spacing w:val="-5"/>
        </w:rPr>
        <w:t> </w:t>
      </w:r>
      <w:r>
        <w:rPr/>
        <w:t>their</w:t>
      </w:r>
      <w:r>
        <w:rPr>
          <w:spacing w:val="-2"/>
        </w:rPr>
        <w:t> </w:t>
      </w:r>
      <w:r>
        <w:rPr/>
        <w:t>national</w:t>
      </w:r>
      <w:r>
        <w:rPr>
          <w:spacing w:val="-4"/>
        </w:rPr>
        <w:t> </w:t>
      </w:r>
      <w:r>
        <w:rPr/>
        <w:t>sovereignty</w:t>
      </w:r>
      <w:r>
        <w:rPr>
          <w:spacing w:val="-5"/>
        </w:rPr>
        <w:t> </w:t>
      </w:r>
      <w:r>
        <w:rPr/>
        <w:t>on</w:t>
      </w:r>
      <w:r>
        <w:rPr>
          <w:spacing w:val="-3"/>
        </w:rPr>
        <w:t> </w:t>
      </w:r>
      <w:r>
        <w:rPr/>
        <w:t>their</w:t>
      </w:r>
      <w:r>
        <w:rPr>
          <w:spacing w:val="-3"/>
        </w:rPr>
        <w:t> </w:t>
      </w:r>
      <w:r>
        <w:rPr/>
        <w:t>territory,</w:t>
      </w:r>
    </w:p>
    <w:p>
      <w:pPr>
        <w:pStyle w:val="BodyText"/>
        <w:spacing w:before="9"/>
        <w:rPr>
          <w:sz w:val="35"/>
        </w:rPr>
      </w:pPr>
    </w:p>
    <w:p>
      <w:pPr>
        <w:pStyle w:val="BodyText"/>
        <w:ind w:left="824"/>
      </w:pPr>
      <w:r>
        <w:rPr>
          <w:b/>
          <w:u w:val="single"/>
        </w:rPr>
        <w:t>Noting</w:t>
      </w:r>
      <w:r>
        <w:rPr>
          <w:b/>
          <w:spacing w:val="-13"/>
        </w:rPr>
        <w:t> </w:t>
      </w:r>
      <w:r>
        <w:rPr/>
        <w:t>that</w:t>
      </w:r>
      <w:r>
        <w:rPr>
          <w:spacing w:val="-14"/>
        </w:rPr>
        <w:t> </w:t>
      </w:r>
      <w:r>
        <w:rPr/>
        <w:t>the</w:t>
      </w:r>
      <w:r>
        <w:rPr>
          <w:spacing w:val="-14"/>
        </w:rPr>
        <w:t> </w:t>
      </w:r>
      <w:r>
        <w:rPr/>
        <w:t>Palestinian</w:t>
      </w:r>
      <w:r>
        <w:rPr>
          <w:spacing w:val="-12"/>
        </w:rPr>
        <w:t> </w:t>
      </w:r>
      <w:r>
        <w:rPr/>
        <w:t>Question</w:t>
      </w:r>
      <w:r>
        <w:rPr>
          <w:spacing w:val="-12"/>
        </w:rPr>
        <w:t> </w:t>
      </w:r>
      <w:r>
        <w:rPr/>
        <w:t>is</w:t>
      </w:r>
      <w:r>
        <w:rPr>
          <w:spacing w:val="-15"/>
        </w:rPr>
        <w:t> </w:t>
      </w:r>
      <w:r>
        <w:rPr/>
        <w:t>the</w:t>
      </w:r>
      <w:r>
        <w:rPr>
          <w:spacing w:val="-14"/>
        </w:rPr>
        <w:t> </w:t>
      </w:r>
      <w:r>
        <w:rPr/>
        <w:t>main</w:t>
      </w:r>
      <w:r>
        <w:rPr>
          <w:spacing w:val="-12"/>
        </w:rPr>
        <w:t> </w:t>
      </w:r>
      <w:r>
        <w:rPr/>
        <w:t>cause</w:t>
      </w:r>
      <w:r>
        <w:rPr>
          <w:spacing w:val="-15"/>
        </w:rPr>
        <w:t> </w:t>
      </w:r>
      <w:r>
        <w:rPr/>
        <w:t>of</w:t>
      </w:r>
      <w:r>
        <w:rPr>
          <w:spacing w:val="-14"/>
        </w:rPr>
        <w:t> </w:t>
      </w:r>
      <w:r>
        <w:rPr/>
        <w:t>the</w:t>
      </w:r>
      <w:r>
        <w:rPr>
          <w:spacing w:val="-14"/>
        </w:rPr>
        <w:t> </w:t>
      </w:r>
      <w:r>
        <w:rPr/>
        <w:t>problem</w:t>
      </w:r>
      <w:r>
        <w:rPr>
          <w:spacing w:val="-13"/>
        </w:rPr>
        <w:t> </w:t>
      </w:r>
      <w:r>
        <w:rPr/>
        <w:t>against</w:t>
      </w:r>
      <w:r>
        <w:rPr>
          <w:spacing w:val="-14"/>
        </w:rPr>
        <w:t> </w:t>
      </w:r>
      <w:r>
        <w:rPr>
          <w:spacing w:val="-2"/>
        </w:rPr>
        <w:t>Israel,</w:t>
      </w:r>
    </w:p>
    <w:p>
      <w:pPr>
        <w:pStyle w:val="BodyText"/>
        <w:rPr>
          <w:sz w:val="26"/>
        </w:rPr>
      </w:pPr>
    </w:p>
    <w:p>
      <w:pPr>
        <w:pStyle w:val="BodyText"/>
        <w:spacing w:before="2"/>
        <w:rPr>
          <w:sz w:val="22"/>
        </w:rPr>
      </w:pPr>
    </w:p>
    <w:p>
      <w:pPr>
        <w:pStyle w:val="BodyText"/>
        <w:spacing w:line="360" w:lineRule="auto"/>
        <w:ind w:left="104" w:right="171" w:firstLine="720"/>
        <w:jc w:val="both"/>
      </w:pPr>
      <w:r>
        <w:rPr>
          <w:b/>
          <w:u w:val="single"/>
        </w:rPr>
        <w:t>Reaffirming</w:t>
      </w:r>
      <w:r>
        <w:rPr>
          <w:b/>
        </w:rPr>
        <w:t> </w:t>
      </w:r>
      <w:r>
        <w:rPr/>
        <w:t>the</w:t>
      </w:r>
      <w:r>
        <w:rPr>
          <w:spacing w:val="-2"/>
        </w:rPr>
        <w:t> </w:t>
      </w:r>
      <w:r>
        <w:rPr/>
        <w:t>legitimacy</w:t>
      </w:r>
      <w:r>
        <w:rPr>
          <w:spacing w:val="-2"/>
        </w:rPr>
        <w:t> </w:t>
      </w:r>
      <w:r>
        <w:rPr/>
        <w:t>of</w:t>
      </w:r>
      <w:r>
        <w:rPr>
          <w:spacing w:val="-2"/>
        </w:rPr>
        <w:t> </w:t>
      </w:r>
      <w:r>
        <w:rPr/>
        <w:t>the</w:t>
      </w:r>
      <w:r>
        <w:rPr>
          <w:spacing w:val="-2"/>
        </w:rPr>
        <w:t> </w:t>
      </w:r>
      <w:r>
        <w:rPr/>
        <w:t>struggle</w:t>
      </w:r>
      <w:r>
        <w:rPr>
          <w:spacing w:val="-2"/>
        </w:rPr>
        <w:t> </w:t>
      </w:r>
      <w:r>
        <w:rPr/>
        <w:t>of</w:t>
      </w:r>
      <w:r>
        <w:rPr>
          <w:spacing w:val="-2"/>
        </w:rPr>
        <w:t> </w:t>
      </w:r>
      <w:r>
        <w:rPr/>
        <w:t>the</w:t>
      </w:r>
      <w:r>
        <w:rPr>
          <w:spacing w:val="-2"/>
        </w:rPr>
        <w:t> </w:t>
      </w:r>
      <w:r>
        <w:rPr/>
        <w:t>Palestinian people</w:t>
      </w:r>
      <w:r>
        <w:rPr>
          <w:spacing w:val="-2"/>
        </w:rPr>
        <w:t> </w:t>
      </w:r>
      <w:r>
        <w:rPr/>
        <w:t>under the</w:t>
      </w:r>
      <w:r>
        <w:rPr>
          <w:spacing w:val="-2"/>
        </w:rPr>
        <w:t> </w:t>
      </w:r>
      <w:r>
        <w:rPr/>
        <w:t>leadership of the PLO, for the restoration of all their national rights,</w:t>
      </w:r>
    </w:p>
    <w:p>
      <w:pPr>
        <w:pStyle w:val="BodyText"/>
        <w:spacing w:before="1"/>
        <w:rPr>
          <w:sz w:val="36"/>
        </w:rPr>
      </w:pPr>
    </w:p>
    <w:p>
      <w:pPr>
        <w:pStyle w:val="BodyText"/>
        <w:spacing w:line="360" w:lineRule="auto" w:before="1"/>
        <w:ind w:left="104" w:right="154" w:firstLine="720"/>
        <w:jc w:val="both"/>
      </w:pPr>
      <w:r>
        <w:rPr>
          <w:b/>
          <w:u w:val="single"/>
        </w:rPr>
        <w:t>Reaffirming</w:t>
      </w:r>
      <w:r>
        <w:rPr>
          <w:b/>
        </w:rPr>
        <w:t> </w:t>
      </w:r>
      <w:r>
        <w:rPr/>
        <w:t>that a just and lasting peace cannot be attained except on the basis of total Israeli withdrawal from all the occupied Arab Territories and the recognition of the national legitimate rights of the Palestinian People to their territory, its sovereignty and national independence and its right to self-determination and</w:t>
      </w:r>
      <w:r>
        <w:rPr>
          <w:spacing w:val="-2"/>
        </w:rPr>
        <w:t> </w:t>
      </w:r>
      <w:r>
        <w:rPr/>
        <w:t>the</w:t>
      </w:r>
      <w:r>
        <w:rPr>
          <w:spacing w:val="-2"/>
        </w:rPr>
        <w:t> </w:t>
      </w:r>
      <w:r>
        <w:rPr/>
        <w:t>creation of</w:t>
      </w:r>
      <w:r>
        <w:rPr>
          <w:spacing w:val="-2"/>
        </w:rPr>
        <w:t> </w:t>
      </w:r>
      <w:r>
        <w:rPr/>
        <w:t>its</w:t>
      </w:r>
      <w:r>
        <w:rPr>
          <w:spacing w:val="-2"/>
        </w:rPr>
        <w:t> </w:t>
      </w:r>
      <w:r>
        <w:rPr/>
        <w:t>own independent</w:t>
      </w:r>
      <w:r>
        <w:rPr>
          <w:spacing w:val="-1"/>
        </w:rPr>
        <w:t> </w:t>
      </w:r>
      <w:r>
        <w:rPr/>
        <w:t>State</w:t>
      </w:r>
      <w:r>
        <w:rPr>
          <w:spacing w:val="-2"/>
        </w:rPr>
        <w:t> </w:t>
      </w:r>
      <w:r>
        <w:rPr/>
        <w:t>on its national territory ,</w:t>
      </w:r>
    </w:p>
    <w:p>
      <w:pPr>
        <w:pStyle w:val="BodyText"/>
        <w:spacing w:before="9"/>
        <w:rPr>
          <w:sz w:val="35"/>
        </w:rPr>
      </w:pPr>
    </w:p>
    <w:p>
      <w:pPr>
        <w:pStyle w:val="BodyText"/>
        <w:spacing w:line="360" w:lineRule="auto"/>
        <w:ind w:left="104" w:right="152" w:firstLine="720"/>
        <w:jc w:val="both"/>
      </w:pPr>
      <w:r>
        <w:rPr>
          <w:b/>
          <w:u w:val="single"/>
        </w:rPr>
        <w:t>Noting with indignation</w:t>
      </w:r>
      <w:r>
        <w:rPr>
          <w:b/>
        </w:rPr>
        <w:t> </w:t>
      </w:r>
      <w:r>
        <w:rPr/>
        <w:t>that the alliance between Israel and the racist regimes in South Africa and Southern Rhodesia aims at continuation of the policy of terrorism, extermination of the</w:t>
      </w:r>
      <w:r>
        <w:rPr>
          <w:spacing w:val="-4"/>
        </w:rPr>
        <w:t> </w:t>
      </w:r>
      <w:r>
        <w:rPr/>
        <w:t>Palestinian</w:t>
      </w:r>
      <w:r>
        <w:rPr>
          <w:spacing w:val="-1"/>
        </w:rPr>
        <w:t> </w:t>
      </w:r>
      <w:r>
        <w:rPr/>
        <w:t>and</w:t>
      </w:r>
      <w:r>
        <w:rPr>
          <w:spacing w:val="-4"/>
        </w:rPr>
        <w:t> </w:t>
      </w:r>
      <w:r>
        <w:rPr/>
        <w:t>Arab</w:t>
      </w:r>
      <w:r>
        <w:rPr>
          <w:spacing w:val="-4"/>
        </w:rPr>
        <w:t> </w:t>
      </w:r>
      <w:r>
        <w:rPr/>
        <w:t>peoples</w:t>
      </w:r>
      <w:r>
        <w:rPr>
          <w:spacing w:val="-4"/>
        </w:rPr>
        <w:t> </w:t>
      </w:r>
      <w:r>
        <w:rPr/>
        <w:t>in</w:t>
      </w:r>
      <w:r>
        <w:rPr>
          <w:spacing w:val="-1"/>
        </w:rPr>
        <w:t> </w:t>
      </w:r>
      <w:r>
        <w:rPr/>
        <w:t>the</w:t>
      </w:r>
      <w:r>
        <w:rPr>
          <w:spacing w:val="-4"/>
        </w:rPr>
        <w:t> </w:t>
      </w:r>
      <w:r>
        <w:rPr/>
        <w:t>occupied</w:t>
      </w:r>
      <w:r>
        <w:rPr>
          <w:spacing w:val="-4"/>
        </w:rPr>
        <w:t> </w:t>
      </w:r>
      <w:r>
        <w:rPr/>
        <w:t>Arab</w:t>
      </w:r>
      <w:r>
        <w:rPr>
          <w:spacing w:val="-4"/>
        </w:rPr>
        <w:t> </w:t>
      </w:r>
      <w:r>
        <w:rPr/>
        <w:t>territories</w:t>
      </w:r>
      <w:r>
        <w:rPr>
          <w:spacing w:val="-4"/>
        </w:rPr>
        <w:t> </w:t>
      </w:r>
      <w:r>
        <w:rPr/>
        <w:t>and</w:t>
      </w:r>
      <w:r>
        <w:rPr>
          <w:spacing w:val="-4"/>
        </w:rPr>
        <w:t> </w:t>
      </w:r>
      <w:r>
        <w:rPr/>
        <w:t>the</w:t>
      </w:r>
      <w:r>
        <w:rPr>
          <w:spacing w:val="-4"/>
        </w:rPr>
        <w:t> </w:t>
      </w:r>
      <w:r>
        <w:rPr/>
        <w:t>African</w:t>
      </w:r>
      <w:r>
        <w:rPr>
          <w:spacing w:val="-2"/>
        </w:rPr>
        <w:t> </w:t>
      </w:r>
      <w:r>
        <w:rPr/>
        <w:t>people</w:t>
      </w:r>
      <w:r>
        <w:rPr>
          <w:spacing w:val="-4"/>
        </w:rPr>
        <w:t> </w:t>
      </w:r>
      <w:r>
        <w:rPr/>
        <w:t>in</w:t>
      </w:r>
      <w:r>
        <w:rPr>
          <w:spacing w:val="-2"/>
        </w:rPr>
        <w:t> </w:t>
      </w:r>
      <w:r>
        <w:rPr/>
        <w:t>South Africa, Namibia and Southern Rhodesia, and that Israel and the racist regimes are pursuing identical methods and manoeuvres,</w:t>
      </w:r>
    </w:p>
    <w:p>
      <w:pPr>
        <w:pStyle w:val="BodyText"/>
        <w:spacing w:before="2"/>
        <w:rPr>
          <w:sz w:val="36"/>
        </w:rPr>
      </w:pPr>
    </w:p>
    <w:p>
      <w:pPr>
        <w:pStyle w:val="ListParagraph"/>
        <w:numPr>
          <w:ilvl w:val="0"/>
          <w:numId w:val="1"/>
        </w:numPr>
        <w:tabs>
          <w:tab w:pos="1185" w:val="left" w:leader="none"/>
        </w:tabs>
        <w:spacing w:line="360" w:lineRule="auto" w:before="1" w:after="0"/>
        <w:ind w:left="1184" w:right="172" w:hanging="360"/>
        <w:jc w:val="both"/>
        <w:rPr>
          <w:sz w:val="24"/>
        </w:rPr>
      </w:pPr>
      <w:r>
        <w:rPr>
          <w:b/>
          <w:sz w:val="24"/>
        </w:rPr>
        <w:t>ENDORSES </w:t>
      </w:r>
      <w:r>
        <w:rPr>
          <w:sz w:val="24"/>
        </w:rPr>
        <w:t>the report of the Secretary-General as contained in Document CM/821 </w:t>
      </w:r>
      <w:r>
        <w:rPr>
          <w:spacing w:val="-2"/>
          <w:sz w:val="24"/>
        </w:rPr>
        <w:t>(XXIX):</w:t>
      </w:r>
    </w:p>
    <w:p>
      <w:pPr>
        <w:pStyle w:val="BodyText"/>
        <w:spacing w:before="7"/>
        <w:rPr>
          <w:sz w:val="35"/>
        </w:rPr>
      </w:pPr>
    </w:p>
    <w:p>
      <w:pPr>
        <w:pStyle w:val="ListParagraph"/>
        <w:numPr>
          <w:ilvl w:val="0"/>
          <w:numId w:val="1"/>
        </w:numPr>
        <w:tabs>
          <w:tab w:pos="1185" w:val="left" w:leader="none"/>
        </w:tabs>
        <w:spacing w:line="362" w:lineRule="auto" w:before="1" w:after="0"/>
        <w:ind w:left="1184" w:right="151" w:hanging="361"/>
        <w:jc w:val="both"/>
        <w:rPr>
          <w:sz w:val="24"/>
        </w:rPr>
      </w:pPr>
      <w:r>
        <w:rPr>
          <w:b/>
          <w:sz w:val="24"/>
        </w:rPr>
        <w:t>FURTHER ENDORSES </w:t>
      </w:r>
      <w:r>
        <w:rPr>
          <w:sz w:val="24"/>
        </w:rPr>
        <w:t>all previous resolutions by which the Council re-affirmed its total and effective support for the Palestinian People;</w:t>
      </w:r>
    </w:p>
    <w:p>
      <w:pPr>
        <w:pStyle w:val="BodyText"/>
        <w:spacing w:before="7"/>
        <w:rPr>
          <w:sz w:val="35"/>
        </w:rPr>
      </w:pPr>
    </w:p>
    <w:p>
      <w:pPr>
        <w:pStyle w:val="ListParagraph"/>
        <w:numPr>
          <w:ilvl w:val="0"/>
          <w:numId w:val="1"/>
        </w:numPr>
        <w:tabs>
          <w:tab w:pos="1185" w:val="left" w:leader="none"/>
        </w:tabs>
        <w:spacing w:line="360" w:lineRule="auto" w:before="0" w:after="0"/>
        <w:ind w:left="1184" w:right="159" w:hanging="361"/>
        <w:jc w:val="both"/>
        <w:rPr>
          <w:sz w:val="24"/>
        </w:rPr>
      </w:pPr>
      <w:r>
        <w:rPr>
          <w:b/>
          <w:sz w:val="24"/>
        </w:rPr>
        <w:t>REAFFIRMS</w:t>
      </w:r>
      <w:r>
        <w:rPr>
          <w:b/>
          <w:spacing w:val="-2"/>
          <w:sz w:val="24"/>
        </w:rPr>
        <w:t> </w:t>
      </w:r>
      <w:r>
        <w:rPr>
          <w:sz w:val="24"/>
        </w:rPr>
        <w:t>its</w:t>
      </w:r>
      <w:r>
        <w:rPr>
          <w:spacing w:val="-8"/>
          <w:sz w:val="24"/>
        </w:rPr>
        <w:t> </w:t>
      </w:r>
      <w:r>
        <w:rPr>
          <w:sz w:val="24"/>
        </w:rPr>
        <w:t>total</w:t>
      </w:r>
      <w:r>
        <w:rPr>
          <w:spacing w:val="-7"/>
          <w:sz w:val="24"/>
        </w:rPr>
        <w:t> </w:t>
      </w:r>
      <w:r>
        <w:rPr>
          <w:sz w:val="24"/>
        </w:rPr>
        <w:t>support</w:t>
      </w:r>
      <w:r>
        <w:rPr>
          <w:spacing w:val="-7"/>
          <w:sz w:val="24"/>
        </w:rPr>
        <w:t> </w:t>
      </w:r>
      <w:r>
        <w:rPr>
          <w:sz w:val="24"/>
        </w:rPr>
        <w:t>to</w:t>
      </w:r>
      <w:r>
        <w:rPr>
          <w:spacing w:val="-8"/>
          <w:sz w:val="24"/>
        </w:rPr>
        <w:t> </w:t>
      </w:r>
      <w:r>
        <w:rPr>
          <w:sz w:val="24"/>
        </w:rPr>
        <w:t>the</w:t>
      </w:r>
      <w:r>
        <w:rPr>
          <w:spacing w:val="-8"/>
          <w:sz w:val="24"/>
        </w:rPr>
        <w:t> </w:t>
      </w:r>
      <w:r>
        <w:rPr>
          <w:sz w:val="24"/>
        </w:rPr>
        <w:t>Arab</w:t>
      </w:r>
      <w:r>
        <w:rPr>
          <w:spacing w:val="-8"/>
          <w:sz w:val="24"/>
        </w:rPr>
        <w:t> </w:t>
      </w:r>
      <w:r>
        <w:rPr>
          <w:sz w:val="24"/>
        </w:rPr>
        <w:t>Frontline</w:t>
      </w:r>
      <w:r>
        <w:rPr>
          <w:spacing w:val="-8"/>
          <w:sz w:val="24"/>
        </w:rPr>
        <w:t> </w:t>
      </w:r>
      <w:r>
        <w:rPr>
          <w:sz w:val="24"/>
        </w:rPr>
        <w:t>States</w:t>
      </w:r>
      <w:r>
        <w:rPr>
          <w:spacing w:val="-8"/>
          <w:sz w:val="24"/>
        </w:rPr>
        <w:t> </w:t>
      </w:r>
      <w:r>
        <w:rPr>
          <w:sz w:val="24"/>
        </w:rPr>
        <w:t>and</w:t>
      </w:r>
      <w:r>
        <w:rPr>
          <w:spacing w:val="-8"/>
          <w:sz w:val="24"/>
        </w:rPr>
        <w:t> </w:t>
      </w:r>
      <w:r>
        <w:rPr>
          <w:sz w:val="24"/>
        </w:rPr>
        <w:t>the</w:t>
      </w:r>
      <w:r>
        <w:rPr>
          <w:spacing w:val="-8"/>
          <w:sz w:val="24"/>
        </w:rPr>
        <w:t> </w:t>
      </w:r>
      <w:r>
        <w:rPr>
          <w:sz w:val="24"/>
        </w:rPr>
        <w:t>Palestinian</w:t>
      </w:r>
      <w:r>
        <w:rPr>
          <w:spacing w:val="-6"/>
          <w:sz w:val="24"/>
        </w:rPr>
        <w:t> </w:t>
      </w:r>
      <w:r>
        <w:rPr>
          <w:sz w:val="24"/>
        </w:rPr>
        <w:t>People in their legitimate struggle in order to restore, by all means, the occupied territories and the usurped rights;</w:t>
      </w:r>
    </w:p>
    <w:p>
      <w:pPr>
        <w:spacing w:after="0" w:line="360" w:lineRule="auto"/>
        <w:jc w:val="both"/>
        <w:rPr>
          <w:sz w:val="24"/>
        </w:rPr>
        <w:sectPr>
          <w:pgSz w:w="12240" w:h="15840"/>
          <w:pgMar w:header="727" w:footer="0" w:top="1320" w:bottom="280" w:left="1340" w:right="1320"/>
        </w:sectPr>
      </w:pPr>
    </w:p>
    <w:p>
      <w:pPr>
        <w:pStyle w:val="BodyText"/>
        <w:rPr>
          <w:sz w:val="20"/>
        </w:rPr>
      </w:pPr>
    </w:p>
    <w:p>
      <w:pPr>
        <w:pStyle w:val="BodyText"/>
        <w:rPr>
          <w:sz w:val="20"/>
        </w:rPr>
      </w:pPr>
    </w:p>
    <w:p>
      <w:pPr>
        <w:pStyle w:val="BodyText"/>
        <w:rPr>
          <w:sz w:val="20"/>
        </w:rPr>
      </w:pPr>
    </w:p>
    <w:p>
      <w:pPr>
        <w:pStyle w:val="ListParagraph"/>
        <w:numPr>
          <w:ilvl w:val="0"/>
          <w:numId w:val="1"/>
        </w:numPr>
        <w:tabs>
          <w:tab w:pos="1185" w:val="left" w:leader="none"/>
        </w:tabs>
        <w:spacing w:line="360" w:lineRule="auto" w:before="210" w:after="0"/>
        <w:ind w:left="1184" w:right="165" w:hanging="360"/>
        <w:jc w:val="both"/>
        <w:rPr>
          <w:sz w:val="24"/>
        </w:rPr>
      </w:pPr>
      <w:r>
        <w:rPr>
          <w:b/>
          <w:sz w:val="24"/>
        </w:rPr>
        <w:t>DECLARES </w:t>
      </w:r>
      <w:r>
        <w:rPr>
          <w:sz w:val="24"/>
        </w:rPr>
        <w:t>its total support to the PLO as the only legitimate representative of the Palestinian</w:t>
      </w:r>
      <w:r>
        <w:rPr>
          <w:spacing w:val="-2"/>
          <w:sz w:val="24"/>
        </w:rPr>
        <w:t> </w:t>
      </w:r>
      <w:r>
        <w:rPr>
          <w:sz w:val="24"/>
        </w:rPr>
        <w:t>People</w:t>
      </w:r>
      <w:r>
        <w:rPr>
          <w:spacing w:val="-4"/>
          <w:sz w:val="24"/>
        </w:rPr>
        <w:t> </w:t>
      </w:r>
      <w:r>
        <w:rPr>
          <w:sz w:val="24"/>
        </w:rPr>
        <w:t>and</w:t>
      </w:r>
      <w:r>
        <w:rPr>
          <w:spacing w:val="-4"/>
          <w:sz w:val="24"/>
        </w:rPr>
        <w:t> </w:t>
      </w:r>
      <w:r>
        <w:rPr>
          <w:sz w:val="24"/>
        </w:rPr>
        <w:t>its</w:t>
      </w:r>
      <w:r>
        <w:rPr>
          <w:spacing w:val="-4"/>
          <w:sz w:val="24"/>
        </w:rPr>
        <w:t> </w:t>
      </w:r>
      <w:r>
        <w:rPr>
          <w:sz w:val="24"/>
        </w:rPr>
        <w:t>heroic</w:t>
      </w:r>
      <w:r>
        <w:rPr>
          <w:spacing w:val="-4"/>
          <w:sz w:val="24"/>
        </w:rPr>
        <w:t> </w:t>
      </w:r>
      <w:r>
        <w:rPr>
          <w:sz w:val="24"/>
        </w:rPr>
        <w:t>struggle</w:t>
      </w:r>
      <w:r>
        <w:rPr>
          <w:spacing w:val="-4"/>
          <w:sz w:val="24"/>
        </w:rPr>
        <w:t> </w:t>
      </w:r>
      <w:r>
        <w:rPr>
          <w:sz w:val="24"/>
        </w:rPr>
        <w:t>against</w:t>
      </w:r>
      <w:r>
        <w:rPr>
          <w:spacing w:val="-3"/>
          <w:sz w:val="24"/>
        </w:rPr>
        <w:t> </w:t>
      </w:r>
      <w:r>
        <w:rPr>
          <w:sz w:val="24"/>
        </w:rPr>
        <w:t>zionism</w:t>
      </w:r>
      <w:r>
        <w:rPr>
          <w:spacing w:val="-3"/>
          <w:sz w:val="24"/>
        </w:rPr>
        <w:t> </w:t>
      </w:r>
      <w:r>
        <w:rPr>
          <w:sz w:val="24"/>
        </w:rPr>
        <w:t>and</w:t>
      </w:r>
      <w:r>
        <w:rPr>
          <w:spacing w:val="-4"/>
          <w:sz w:val="24"/>
        </w:rPr>
        <w:t> </w:t>
      </w:r>
      <w:r>
        <w:rPr>
          <w:sz w:val="24"/>
        </w:rPr>
        <w:t>racism;</w:t>
      </w:r>
    </w:p>
    <w:p>
      <w:pPr>
        <w:pStyle w:val="BodyText"/>
        <w:spacing w:before="1"/>
        <w:rPr>
          <w:sz w:val="36"/>
        </w:rPr>
      </w:pPr>
    </w:p>
    <w:p>
      <w:pPr>
        <w:pStyle w:val="ListParagraph"/>
        <w:numPr>
          <w:ilvl w:val="0"/>
          <w:numId w:val="1"/>
        </w:numPr>
        <w:tabs>
          <w:tab w:pos="1185" w:val="left" w:leader="none"/>
        </w:tabs>
        <w:spacing w:line="360" w:lineRule="auto" w:before="1" w:after="0"/>
        <w:ind w:left="1184" w:right="146" w:hanging="361"/>
        <w:jc w:val="both"/>
        <w:rPr>
          <w:sz w:val="24"/>
        </w:rPr>
      </w:pPr>
      <w:r>
        <w:rPr>
          <w:b/>
          <w:sz w:val="24"/>
        </w:rPr>
        <w:t>STRONGLY CONDEMNS </w:t>
      </w:r>
      <w:r>
        <w:rPr>
          <w:sz w:val="24"/>
        </w:rPr>
        <w:t>the Israeli aggressive designs and policy of expansion as</w:t>
      </w:r>
      <w:r>
        <w:rPr>
          <w:spacing w:val="-1"/>
          <w:sz w:val="24"/>
        </w:rPr>
        <w:t> </w:t>
      </w:r>
      <w:r>
        <w:rPr>
          <w:sz w:val="24"/>
        </w:rPr>
        <w:t>reiterated</w:t>
      </w:r>
      <w:r>
        <w:rPr>
          <w:spacing w:val="-1"/>
          <w:sz w:val="24"/>
        </w:rPr>
        <w:t> </w:t>
      </w:r>
      <w:r>
        <w:rPr>
          <w:sz w:val="24"/>
        </w:rPr>
        <w:t>in the</w:t>
      </w:r>
      <w:r>
        <w:rPr>
          <w:spacing w:val="-1"/>
          <w:sz w:val="24"/>
        </w:rPr>
        <w:t> </w:t>
      </w:r>
      <w:r>
        <w:rPr>
          <w:sz w:val="24"/>
        </w:rPr>
        <w:t>statements of the newly formed Israeli Government;</w:t>
      </w:r>
    </w:p>
    <w:p>
      <w:pPr>
        <w:pStyle w:val="BodyText"/>
        <w:spacing w:before="1"/>
        <w:rPr>
          <w:sz w:val="36"/>
        </w:rPr>
      </w:pPr>
    </w:p>
    <w:p>
      <w:pPr>
        <w:pStyle w:val="ListParagraph"/>
        <w:numPr>
          <w:ilvl w:val="0"/>
          <w:numId w:val="1"/>
        </w:numPr>
        <w:tabs>
          <w:tab w:pos="1185" w:val="left" w:leader="none"/>
        </w:tabs>
        <w:spacing w:line="360" w:lineRule="auto" w:before="0" w:after="0"/>
        <w:ind w:left="1184" w:right="152" w:hanging="360"/>
        <w:jc w:val="both"/>
        <w:rPr>
          <w:sz w:val="24"/>
        </w:rPr>
      </w:pPr>
      <w:r>
        <w:rPr>
          <w:b/>
          <w:sz w:val="24"/>
        </w:rPr>
        <w:t>STRONGLY CONDEMDS </w:t>
      </w:r>
      <w:r>
        <w:rPr>
          <w:sz w:val="24"/>
        </w:rPr>
        <w:t>once more, the alliance between Israel and the racist regimes in South Africa, Southern Rhodesia and invites all Member States to be vigilant against the dangers of this alliance;</w:t>
      </w:r>
    </w:p>
    <w:p>
      <w:pPr>
        <w:pStyle w:val="BodyText"/>
        <w:rPr>
          <w:sz w:val="36"/>
        </w:rPr>
      </w:pPr>
    </w:p>
    <w:p>
      <w:pPr>
        <w:pStyle w:val="ListParagraph"/>
        <w:numPr>
          <w:ilvl w:val="0"/>
          <w:numId w:val="1"/>
        </w:numPr>
        <w:tabs>
          <w:tab w:pos="1185" w:val="left" w:leader="none"/>
        </w:tabs>
        <w:spacing w:line="360" w:lineRule="auto" w:before="0" w:after="0"/>
        <w:ind w:left="1184" w:right="161" w:hanging="361"/>
        <w:jc w:val="both"/>
        <w:rPr>
          <w:sz w:val="24"/>
        </w:rPr>
      </w:pPr>
      <w:r>
        <w:rPr>
          <w:b/>
          <w:sz w:val="24"/>
        </w:rPr>
        <w:t>CALLS </w:t>
      </w:r>
      <w:r>
        <w:rPr>
          <w:sz w:val="24"/>
        </w:rPr>
        <w:t>on OAU Member States to step up their diplomatic, economic, political and military</w:t>
      </w:r>
      <w:r>
        <w:rPr>
          <w:spacing w:val="-2"/>
          <w:sz w:val="24"/>
        </w:rPr>
        <w:t> </w:t>
      </w:r>
      <w:r>
        <w:rPr>
          <w:sz w:val="24"/>
        </w:rPr>
        <w:t>isolation of</w:t>
      </w:r>
      <w:r>
        <w:rPr>
          <w:spacing w:val="-2"/>
          <w:sz w:val="24"/>
        </w:rPr>
        <w:t> </w:t>
      </w:r>
      <w:r>
        <w:rPr>
          <w:sz w:val="24"/>
        </w:rPr>
        <w:t>Israel</w:t>
      </w:r>
      <w:r>
        <w:rPr>
          <w:spacing w:val="-1"/>
          <w:sz w:val="24"/>
        </w:rPr>
        <w:t> </w:t>
      </w:r>
      <w:r>
        <w:rPr>
          <w:sz w:val="24"/>
        </w:rPr>
        <w:t>and</w:t>
      </w:r>
      <w:r>
        <w:rPr>
          <w:spacing w:val="-2"/>
          <w:sz w:val="24"/>
        </w:rPr>
        <w:t> </w:t>
      </w:r>
      <w:r>
        <w:rPr>
          <w:sz w:val="24"/>
        </w:rPr>
        <w:t>to</w:t>
      </w:r>
      <w:r>
        <w:rPr>
          <w:spacing w:val="-2"/>
          <w:sz w:val="24"/>
        </w:rPr>
        <w:t> </w:t>
      </w:r>
      <w:r>
        <w:rPr>
          <w:sz w:val="24"/>
        </w:rPr>
        <w:t>support</w:t>
      </w:r>
      <w:r>
        <w:rPr>
          <w:spacing w:val="-1"/>
          <w:sz w:val="24"/>
        </w:rPr>
        <w:t> </w:t>
      </w:r>
      <w:r>
        <w:rPr>
          <w:sz w:val="24"/>
        </w:rPr>
        <w:t>the</w:t>
      </w:r>
      <w:r>
        <w:rPr>
          <w:spacing w:val="-2"/>
          <w:sz w:val="24"/>
        </w:rPr>
        <w:t> </w:t>
      </w:r>
      <w:r>
        <w:rPr>
          <w:sz w:val="24"/>
        </w:rPr>
        <w:t>just</w:t>
      </w:r>
      <w:r>
        <w:rPr>
          <w:spacing w:val="-2"/>
          <w:sz w:val="24"/>
        </w:rPr>
        <w:t> </w:t>
      </w:r>
      <w:r>
        <w:rPr>
          <w:sz w:val="24"/>
        </w:rPr>
        <w:t>cause</w:t>
      </w:r>
      <w:r>
        <w:rPr>
          <w:spacing w:val="-2"/>
          <w:sz w:val="24"/>
        </w:rPr>
        <w:t> </w:t>
      </w:r>
      <w:r>
        <w:rPr>
          <w:sz w:val="24"/>
        </w:rPr>
        <w:t>of</w:t>
      </w:r>
      <w:r>
        <w:rPr>
          <w:spacing w:val="-2"/>
          <w:sz w:val="24"/>
        </w:rPr>
        <w:t> </w:t>
      </w:r>
      <w:r>
        <w:rPr>
          <w:sz w:val="24"/>
        </w:rPr>
        <w:t>the</w:t>
      </w:r>
      <w:r>
        <w:rPr>
          <w:spacing w:val="-2"/>
          <w:sz w:val="24"/>
        </w:rPr>
        <w:t> </w:t>
      </w:r>
      <w:r>
        <w:rPr>
          <w:sz w:val="24"/>
        </w:rPr>
        <w:t>Palestinian People;</w:t>
      </w:r>
    </w:p>
    <w:p>
      <w:pPr>
        <w:pStyle w:val="BodyText"/>
        <w:spacing w:before="8"/>
        <w:rPr>
          <w:sz w:val="35"/>
        </w:rPr>
      </w:pPr>
    </w:p>
    <w:p>
      <w:pPr>
        <w:pStyle w:val="ListParagraph"/>
        <w:numPr>
          <w:ilvl w:val="0"/>
          <w:numId w:val="1"/>
        </w:numPr>
        <w:tabs>
          <w:tab w:pos="1185" w:val="left" w:leader="none"/>
        </w:tabs>
        <w:spacing w:line="360" w:lineRule="auto" w:before="0" w:after="0"/>
        <w:ind w:left="1184" w:right="125" w:hanging="360"/>
        <w:jc w:val="both"/>
        <w:rPr>
          <w:sz w:val="24"/>
        </w:rPr>
      </w:pPr>
      <w:r>
        <w:rPr>
          <w:b/>
          <w:sz w:val="24"/>
        </w:rPr>
        <w:t>ENDORSES </w:t>
      </w:r>
      <w:r>
        <w:rPr>
          <w:sz w:val="24"/>
        </w:rPr>
        <w:t>the recommendations of the </w:t>
      </w:r>
      <w:r>
        <w:rPr>
          <w:sz w:val="24"/>
          <w:u w:val="single"/>
        </w:rPr>
        <w:t>Ad Hoc</w:t>
      </w:r>
      <w:r>
        <w:rPr>
          <w:sz w:val="24"/>
        </w:rPr>
        <w:t> Committee for exercise the Palestinian People of their inalienable rights, and, in particular, their legitimated and inalienable rights to return to their national homeland and to create an independent State of Palestine and requests the General Assembly of the UN to take all measures for the implementation of those recommendations;</w:t>
      </w:r>
    </w:p>
    <w:p>
      <w:pPr>
        <w:pStyle w:val="BodyText"/>
        <w:spacing w:before="3"/>
        <w:rPr>
          <w:sz w:val="36"/>
        </w:rPr>
      </w:pPr>
    </w:p>
    <w:p>
      <w:pPr>
        <w:pStyle w:val="ListParagraph"/>
        <w:numPr>
          <w:ilvl w:val="0"/>
          <w:numId w:val="1"/>
        </w:numPr>
        <w:tabs>
          <w:tab w:pos="1185" w:val="left" w:leader="none"/>
        </w:tabs>
        <w:spacing w:line="360" w:lineRule="auto" w:before="0" w:after="0"/>
        <w:ind w:left="1184" w:right="126" w:hanging="360"/>
        <w:jc w:val="both"/>
        <w:rPr>
          <w:sz w:val="24"/>
        </w:rPr>
      </w:pPr>
      <w:r>
        <w:rPr>
          <w:b/>
          <w:sz w:val="24"/>
        </w:rPr>
        <w:t>REQUESTS </w:t>
      </w:r>
      <w:r>
        <w:rPr>
          <w:sz w:val="24"/>
        </w:rPr>
        <w:t>the Security Council to reconsider its position concerning the recommendations made by the</w:t>
      </w:r>
      <w:r>
        <w:rPr>
          <w:spacing w:val="30"/>
          <w:sz w:val="24"/>
        </w:rPr>
        <w:t> </w:t>
      </w:r>
      <w:r>
        <w:rPr>
          <w:sz w:val="24"/>
          <w:u w:val="single"/>
        </w:rPr>
        <w:t>Ad Hoc</w:t>
      </w:r>
      <w:r>
        <w:rPr>
          <w:sz w:val="24"/>
        </w:rPr>
        <w:t> Committee for the exercise by the Palestinian People of their inalienable rights to take all the necessary measures with a view to implementing these recommendations after they have become the expression of international will by virtue of their adoption by the 31</w:t>
      </w:r>
      <w:r>
        <w:rPr>
          <w:spacing w:val="-15"/>
          <w:sz w:val="24"/>
        </w:rPr>
        <w:t> </w:t>
      </w:r>
      <w:r>
        <w:rPr>
          <w:sz w:val="24"/>
          <w:vertAlign w:val="superscript"/>
        </w:rPr>
        <w:t>s</w:t>
      </w:r>
      <w:r>
        <w:rPr>
          <w:sz w:val="24"/>
          <w:vertAlign w:val="superscript"/>
        </w:rPr>
        <w:t>t</w:t>
      </w:r>
      <w:r>
        <w:rPr>
          <w:sz w:val="24"/>
          <w:vertAlign w:val="baseline"/>
        </w:rPr>
        <w:t> Session of the General </w:t>
      </w:r>
      <w:r>
        <w:rPr>
          <w:spacing w:val="-2"/>
          <w:sz w:val="24"/>
          <w:vertAlign w:val="baseline"/>
        </w:rPr>
        <w:t>Assembly;</w:t>
      </w:r>
    </w:p>
    <w:p>
      <w:pPr>
        <w:pStyle w:val="BodyText"/>
        <w:spacing w:before="1"/>
        <w:rPr>
          <w:sz w:val="36"/>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REQUESTS </w:t>
      </w:r>
      <w:r>
        <w:rPr>
          <w:sz w:val="24"/>
        </w:rPr>
        <w:t>the Administrative Secretary General to follow up the development</w:t>
      </w:r>
      <w:r>
        <w:rPr>
          <w:spacing w:val="40"/>
          <w:sz w:val="24"/>
        </w:rPr>
        <w:t> </w:t>
      </w:r>
      <w:r>
        <w:rPr>
          <w:sz w:val="24"/>
        </w:rPr>
        <w:t>of the Palestinian Question and present a report to the 30</w:t>
      </w:r>
      <w:r>
        <w:rPr>
          <w:spacing w:val="-15"/>
          <w:sz w:val="24"/>
        </w:rPr>
        <w:t> </w:t>
      </w:r>
      <w:r>
        <w:rPr>
          <w:sz w:val="24"/>
          <w:vertAlign w:val="superscript"/>
        </w:rPr>
        <w:t>t</w:t>
      </w:r>
      <w:r>
        <w:rPr>
          <w:sz w:val="24"/>
          <w:vertAlign w:val="superscript"/>
        </w:rPr>
        <w:t>h</w:t>
      </w:r>
      <w:r>
        <w:rPr>
          <w:sz w:val="24"/>
          <w:vertAlign w:val="baseline"/>
        </w:rPr>
        <w:t> Session of the Council of </w:t>
      </w:r>
      <w:r>
        <w:rPr>
          <w:spacing w:val="-2"/>
          <w:sz w:val="24"/>
          <w:vertAlign w:val="baseline"/>
        </w:rPr>
        <w:t>Ministers.</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4.119995pt;margin-top:35.346642pt;width:107.1pt;height:15.3pt;mso-position-horizontal-relative:page;mso-position-vertical-relative:page;z-index:-15772672" type="#_x0000_t202" id="docshape1" filled="false" stroked="false">
          <v:textbox inset="0,0,0,0">
            <w:txbxContent>
              <w:p>
                <w:pPr>
                  <w:pStyle w:val="BodyText"/>
                  <w:spacing w:before="10"/>
                  <w:ind w:left="20"/>
                </w:pPr>
                <w:r>
                  <w:rPr/>
                  <w:t>CM/Res.</w:t>
                </w:r>
                <w:r>
                  <w:rPr>
                    <w:spacing w:val="-4"/>
                  </w:rPr>
                  <w:t> </w:t>
                </w:r>
                <w:r>
                  <w:rPr/>
                  <w:t>580</w:t>
                </w:r>
                <w:r>
                  <w:rPr>
                    <w:spacing w:val="-6"/>
                  </w:rPr>
                  <w:t> </w:t>
                </w:r>
                <w:r>
                  <w:rPr>
                    <w:spacing w:val="-2"/>
                  </w:rPr>
                  <w:t>(XXIX)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700" w:hanging="361"/>
      </w:pPr>
      <w:rPr>
        <w:rFonts w:hint="default"/>
        <w:lang w:val="en-US" w:eastAsia="en-US" w:bidi="ar-SA"/>
      </w:rPr>
    </w:lvl>
    <w:lvl w:ilvl="4">
      <w:start w:val="0"/>
      <w:numFmt w:val="bullet"/>
      <w:lvlText w:val="•"/>
      <w:lvlJc w:val="left"/>
      <w:pPr>
        <w:ind w:left="4540" w:hanging="361"/>
      </w:pPr>
      <w:rPr>
        <w:rFonts w:hint="default"/>
        <w:lang w:val="en-US" w:eastAsia="en-US" w:bidi="ar-SA"/>
      </w:rPr>
    </w:lvl>
    <w:lvl w:ilvl="5">
      <w:start w:val="0"/>
      <w:numFmt w:val="bullet"/>
      <w:lvlText w:val="•"/>
      <w:lvlJc w:val="left"/>
      <w:pPr>
        <w:ind w:left="5380" w:hanging="361"/>
      </w:pPr>
      <w:rPr>
        <w:rFonts w:hint="default"/>
        <w:lang w:val="en-US" w:eastAsia="en-US" w:bidi="ar-SA"/>
      </w:rPr>
    </w:lvl>
    <w:lvl w:ilvl="6">
      <w:start w:val="0"/>
      <w:numFmt w:val="bullet"/>
      <w:lvlText w:val="•"/>
      <w:lvlJc w:val="left"/>
      <w:pPr>
        <w:ind w:left="6220" w:hanging="361"/>
      </w:pPr>
      <w:rPr>
        <w:rFonts w:hint="default"/>
        <w:lang w:val="en-US" w:eastAsia="en-US" w:bidi="ar-SA"/>
      </w:rPr>
    </w:lvl>
    <w:lvl w:ilvl="7">
      <w:start w:val="0"/>
      <w:numFmt w:val="bullet"/>
      <w:lvlText w:val="•"/>
      <w:lvlJc w:val="left"/>
      <w:pPr>
        <w:ind w:left="7060" w:hanging="361"/>
      </w:pPr>
      <w:rPr>
        <w:rFonts w:hint="default"/>
        <w:lang w:val="en-US" w:eastAsia="en-US" w:bidi="ar-SA"/>
      </w:rPr>
    </w:lvl>
    <w:lvl w:ilvl="8">
      <w:start w:val="0"/>
      <w:numFmt w:val="bullet"/>
      <w:lvlText w:val="•"/>
      <w:lvlJc w:val="left"/>
      <w:pPr>
        <w:ind w:left="79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1926" w:right="1944"/>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2023-06-07T08:53:51Z</dcterms:created>
  <dcterms:modified xsi:type="dcterms:W3CDTF">2023-06-07T08:53:51Z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