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8"/>
          <w:u w:val="single"/>
        </w:rPr>
        <w:t> </w:t>
      </w:r>
      <w:r>
        <w:rPr>
          <w:u w:val="single"/>
        </w:rPr>
        <w:t>THE</w:t>
      </w:r>
      <w:r>
        <w:rPr>
          <w:spacing w:val="-7"/>
          <w:u w:val="single"/>
        </w:rPr>
        <w:t> </w:t>
      </w:r>
      <w:r>
        <w:rPr>
          <w:u w:val="single"/>
        </w:rPr>
        <w:t>INTERNATIONAL</w:t>
      </w:r>
      <w:r>
        <w:rPr>
          <w:spacing w:val="-8"/>
          <w:u w:val="single"/>
        </w:rPr>
        <w:t> </w:t>
      </w:r>
      <w:r>
        <w:rPr>
          <w:u w:val="single"/>
        </w:rPr>
        <w:t>YEAR</w:t>
      </w:r>
      <w:r>
        <w:rPr>
          <w:spacing w:val="-8"/>
          <w:u w:val="single"/>
        </w:rPr>
        <w:t> </w:t>
      </w:r>
      <w:r>
        <w:rPr>
          <w:u w:val="single"/>
        </w:rPr>
        <w:t>OF</w:t>
      </w:r>
      <w:r>
        <w:rPr>
          <w:spacing w:val="-6"/>
          <w:u w:val="single"/>
        </w:rPr>
        <w:t> </w:t>
      </w:r>
      <w:r>
        <w:rPr>
          <w:u w:val="single"/>
        </w:rPr>
        <w:t>THE</w:t>
      </w:r>
      <w:r>
        <w:rPr>
          <w:spacing w:val="2"/>
          <w:u w:val="single"/>
        </w:rPr>
        <w:t> </w:t>
      </w:r>
      <w:r>
        <w:rPr>
          <w:spacing w:val="-2"/>
          <w:u w:val="single"/>
        </w:rPr>
        <w:t>DISABLED</w:t>
      </w:r>
    </w:p>
    <w:p>
      <w:pPr>
        <w:pStyle w:val="BodyText"/>
        <w:rPr>
          <w:b/>
          <w:sz w:val="20"/>
        </w:rPr>
      </w:pPr>
    </w:p>
    <w:p>
      <w:pPr>
        <w:pStyle w:val="BodyText"/>
        <w:rPr>
          <w:b/>
          <w:sz w:val="20"/>
        </w:rPr>
      </w:pPr>
    </w:p>
    <w:p>
      <w:pPr>
        <w:pStyle w:val="BodyText"/>
        <w:spacing w:line="360" w:lineRule="auto" w:before="90"/>
        <w:ind w:left="104" w:right="147" w:firstLine="720"/>
        <w:jc w:val="both"/>
      </w:pPr>
      <w:r>
        <w:rPr/>
        <w:t>The Council of Ministers of the Organization of African Unity meeting in its Thirtieth Ordinary Session in Tripoli, Libya from 20 to 28 February, 1978,</w:t>
      </w:r>
    </w:p>
    <w:p>
      <w:pPr>
        <w:pStyle w:val="BodyText"/>
        <w:spacing w:before="1"/>
        <w:rPr>
          <w:sz w:val="36"/>
        </w:rPr>
      </w:pPr>
    </w:p>
    <w:p>
      <w:pPr>
        <w:pStyle w:val="BodyText"/>
        <w:spacing w:line="360" w:lineRule="auto"/>
        <w:ind w:left="104" w:right="130" w:firstLine="720"/>
        <w:jc w:val="both"/>
      </w:pPr>
      <w:r>
        <w:rPr>
          <w:b/>
          <w:u w:val="single"/>
        </w:rPr>
        <w:t>Reaffirming</w:t>
      </w:r>
      <w:r>
        <w:rPr>
          <w:b/>
          <w:spacing w:val="-1"/>
        </w:rPr>
        <w:t> </w:t>
      </w:r>
      <w:r>
        <w:rPr/>
        <w:t>its</w:t>
      </w:r>
      <w:r>
        <w:rPr>
          <w:spacing w:val="-4"/>
        </w:rPr>
        <w:t> </w:t>
      </w:r>
      <w:r>
        <w:rPr/>
        <w:t>belief</w:t>
      </w:r>
      <w:r>
        <w:rPr>
          <w:spacing w:val="-4"/>
        </w:rPr>
        <w:t> </w:t>
      </w:r>
      <w:r>
        <w:rPr/>
        <w:t>in</w:t>
      </w:r>
      <w:r>
        <w:rPr>
          <w:spacing w:val="-4"/>
        </w:rPr>
        <w:t> </w:t>
      </w:r>
      <w:r>
        <w:rPr/>
        <w:t>human</w:t>
      </w:r>
      <w:r>
        <w:rPr>
          <w:spacing w:val="-4"/>
        </w:rPr>
        <w:t> </w:t>
      </w:r>
      <w:r>
        <w:rPr/>
        <w:t>rights,</w:t>
      </w:r>
      <w:r>
        <w:rPr>
          <w:spacing w:val="-2"/>
        </w:rPr>
        <w:t> </w:t>
      </w:r>
      <w:r>
        <w:rPr/>
        <w:t>basic</w:t>
      </w:r>
      <w:r>
        <w:rPr>
          <w:spacing w:val="-4"/>
        </w:rPr>
        <w:t> </w:t>
      </w:r>
      <w:r>
        <w:rPr/>
        <w:t>freedom,</w:t>
      </w:r>
      <w:r>
        <w:rPr>
          <w:spacing w:val="-2"/>
        </w:rPr>
        <w:t> </w:t>
      </w:r>
      <w:r>
        <w:rPr/>
        <w:t>the</w:t>
      </w:r>
      <w:r>
        <w:rPr>
          <w:spacing w:val="-4"/>
        </w:rPr>
        <w:t> </w:t>
      </w:r>
      <w:r>
        <w:rPr/>
        <w:t>principles</w:t>
      </w:r>
      <w:r>
        <w:rPr>
          <w:spacing w:val="-3"/>
        </w:rPr>
        <w:t> </w:t>
      </w:r>
      <w:r>
        <w:rPr/>
        <w:t>of</w:t>
      </w:r>
      <w:r>
        <w:rPr>
          <w:spacing w:val="-4"/>
        </w:rPr>
        <w:t> </w:t>
      </w:r>
      <w:r>
        <w:rPr/>
        <w:t>peace,</w:t>
      </w:r>
      <w:r>
        <w:rPr>
          <w:spacing w:val="-2"/>
        </w:rPr>
        <w:t> </w:t>
      </w:r>
      <w:r>
        <w:rPr/>
        <w:t>the</w:t>
      </w:r>
      <w:r>
        <w:rPr>
          <w:spacing w:val="-4"/>
        </w:rPr>
        <w:t> </w:t>
      </w:r>
      <w:r>
        <w:rPr/>
        <w:t>dignity and</w:t>
      </w:r>
      <w:r>
        <w:rPr>
          <w:spacing w:val="-1"/>
        </w:rPr>
        <w:t> </w:t>
      </w:r>
      <w:r>
        <w:rPr/>
        <w:t>value</w:t>
      </w:r>
      <w:r>
        <w:rPr>
          <w:spacing w:val="-1"/>
        </w:rPr>
        <w:t> </w:t>
      </w:r>
      <w:r>
        <w:rPr/>
        <w:t>of</w:t>
      </w:r>
      <w:r>
        <w:rPr>
          <w:spacing w:val="-1"/>
        </w:rPr>
        <w:t> </w:t>
      </w:r>
      <w:r>
        <w:rPr/>
        <w:t>the</w:t>
      </w:r>
      <w:r>
        <w:rPr>
          <w:spacing w:val="-1"/>
        </w:rPr>
        <w:t> </w:t>
      </w:r>
      <w:r>
        <w:rPr/>
        <w:t>individual</w:t>
      </w:r>
      <w:r>
        <w:rPr>
          <w:spacing w:val="-1"/>
        </w:rPr>
        <w:t> </w:t>
      </w:r>
      <w:r>
        <w:rPr/>
        <w:t>and</w:t>
      </w:r>
      <w:r>
        <w:rPr>
          <w:spacing w:val="-1"/>
        </w:rPr>
        <w:t> </w:t>
      </w:r>
      <w:r>
        <w:rPr/>
        <w:t>the</w:t>
      </w:r>
      <w:r>
        <w:rPr>
          <w:spacing w:val="-1"/>
        </w:rPr>
        <w:t> </w:t>
      </w:r>
      <w:r>
        <w:rPr/>
        <w:t>importance</w:t>
      </w:r>
      <w:r>
        <w:rPr>
          <w:spacing w:val="-1"/>
        </w:rPr>
        <w:t> </w:t>
      </w:r>
      <w:r>
        <w:rPr/>
        <w:t>of</w:t>
      </w:r>
      <w:r>
        <w:rPr>
          <w:spacing w:val="-1"/>
        </w:rPr>
        <w:t> </w:t>
      </w:r>
      <w:r>
        <w:rPr/>
        <w:t>consolidating</w:t>
      </w:r>
      <w:r>
        <w:rPr>
          <w:spacing w:val="-1"/>
        </w:rPr>
        <w:t> </w:t>
      </w:r>
      <w:r>
        <w:rPr/>
        <w:t>social</w:t>
      </w:r>
      <w:r>
        <w:rPr>
          <w:spacing w:val="-1"/>
        </w:rPr>
        <w:t> </w:t>
      </w:r>
      <w:r>
        <w:rPr/>
        <w:t>justice,</w:t>
      </w:r>
    </w:p>
    <w:p>
      <w:pPr>
        <w:pStyle w:val="BodyText"/>
        <w:spacing w:before="8"/>
        <w:rPr>
          <w:sz w:val="35"/>
        </w:rPr>
      </w:pPr>
    </w:p>
    <w:p>
      <w:pPr>
        <w:pStyle w:val="BodyText"/>
        <w:spacing w:line="362" w:lineRule="auto"/>
        <w:ind w:left="105" w:right="137" w:firstLine="719"/>
        <w:jc w:val="both"/>
      </w:pPr>
      <w:r>
        <w:rPr>
          <w:b/>
          <w:u w:val="single"/>
        </w:rPr>
        <w:t>Convinced</w:t>
      </w:r>
      <w:r>
        <w:rPr>
          <w:b/>
        </w:rPr>
        <w:t> </w:t>
      </w:r>
      <w:r>
        <w:rPr/>
        <w:t>that racist colonial wars and repressions are among the main reasons behind the increase of the number of the disabled;</w:t>
      </w:r>
    </w:p>
    <w:p>
      <w:pPr>
        <w:pStyle w:val="BodyText"/>
        <w:spacing w:before="7"/>
        <w:rPr>
          <w:sz w:val="35"/>
        </w:rPr>
      </w:pPr>
    </w:p>
    <w:p>
      <w:pPr>
        <w:pStyle w:val="BodyText"/>
        <w:ind w:left="824"/>
      </w:pPr>
      <w:r>
        <w:rPr/>
        <w:t>Recalling</w:t>
      </w:r>
      <w:r>
        <w:rPr>
          <w:spacing w:val="-4"/>
        </w:rPr>
        <w:t> </w:t>
      </w:r>
      <w:r>
        <w:rPr/>
        <w:t>UN</w:t>
      </w:r>
      <w:r>
        <w:rPr>
          <w:spacing w:val="-4"/>
        </w:rPr>
        <w:t> </w:t>
      </w:r>
      <w:r>
        <w:rPr/>
        <w:t>General</w:t>
      </w:r>
      <w:r>
        <w:rPr>
          <w:spacing w:val="-4"/>
        </w:rPr>
        <w:t> </w:t>
      </w:r>
      <w:r>
        <w:rPr/>
        <w:t>Assembly</w:t>
      </w:r>
      <w:r>
        <w:rPr>
          <w:spacing w:val="-4"/>
        </w:rPr>
        <w:t> </w:t>
      </w:r>
      <w:r>
        <w:rPr/>
        <w:t>Resolution</w:t>
      </w:r>
      <w:r>
        <w:rPr>
          <w:spacing w:val="9"/>
        </w:rPr>
        <w:t> </w:t>
      </w:r>
      <w:r>
        <w:rPr/>
        <w:t>No.</w:t>
      </w:r>
      <w:r>
        <w:rPr>
          <w:spacing w:val="-2"/>
        </w:rPr>
        <w:t> </w:t>
      </w:r>
      <w:r>
        <w:rPr/>
        <w:t>3447</w:t>
      </w:r>
      <w:r>
        <w:rPr>
          <w:spacing w:val="-5"/>
        </w:rPr>
        <w:t> </w:t>
      </w:r>
      <w:r>
        <w:rPr/>
        <w:t>(XXX)</w:t>
      </w:r>
      <w:r>
        <w:rPr>
          <w:spacing w:val="-4"/>
        </w:rPr>
        <w:t> </w:t>
      </w:r>
      <w:r>
        <w:rPr/>
        <w:t>of</w:t>
      </w:r>
      <w:r>
        <w:rPr>
          <w:spacing w:val="-5"/>
        </w:rPr>
        <w:t> </w:t>
      </w:r>
      <w:r>
        <w:rPr/>
        <w:t>December</w:t>
      </w:r>
      <w:r>
        <w:rPr>
          <w:spacing w:val="-4"/>
        </w:rPr>
        <w:t> </w:t>
      </w:r>
      <w:r>
        <w:rPr/>
        <w:t>1975</w:t>
      </w:r>
      <w:r>
        <w:rPr>
          <w:spacing w:val="-4"/>
        </w:rPr>
        <w:t> </w:t>
      </w:r>
      <w:r>
        <w:rPr/>
        <w:t>and</w:t>
      </w:r>
      <w:r>
        <w:rPr>
          <w:spacing w:val="-5"/>
        </w:rPr>
        <w:t> No.</w:t>
      </w:r>
    </w:p>
    <w:p>
      <w:pPr>
        <w:pStyle w:val="BodyText"/>
        <w:spacing w:before="137"/>
        <w:ind w:left="104"/>
      </w:pPr>
      <w:r>
        <w:rPr/>
        <w:t>31/82</w:t>
      </w:r>
      <w:r>
        <w:rPr>
          <w:spacing w:val="-8"/>
        </w:rPr>
        <w:t> </w:t>
      </w:r>
      <w:r>
        <w:rPr/>
        <w:t>of</w:t>
      </w:r>
      <w:r>
        <w:rPr>
          <w:spacing w:val="-7"/>
        </w:rPr>
        <w:t> </w:t>
      </w:r>
      <w:r>
        <w:rPr/>
        <w:t>13</w:t>
      </w:r>
      <w:r>
        <w:rPr>
          <w:spacing w:val="-8"/>
        </w:rPr>
        <w:t> </w:t>
      </w:r>
      <w:r>
        <w:rPr/>
        <w:t>December</w:t>
      </w:r>
      <w:r>
        <w:rPr>
          <w:spacing w:val="-6"/>
        </w:rPr>
        <w:t> </w:t>
      </w:r>
      <w:r>
        <w:rPr/>
        <w:t>1971</w:t>
      </w:r>
      <w:r>
        <w:rPr>
          <w:spacing w:val="-7"/>
        </w:rPr>
        <w:t> </w:t>
      </w:r>
      <w:r>
        <w:rPr/>
        <w:t>concerning</w:t>
      </w:r>
      <w:r>
        <w:rPr>
          <w:spacing w:val="-8"/>
        </w:rPr>
        <w:t> </w:t>
      </w:r>
      <w:r>
        <w:rPr/>
        <w:t>the</w:t>
      </w:r>
      <w:r>
        <w:rPr>
          <w:spacing w:val="-7"/>
        </w:rPr>
        <w:t> </w:t>
      </w:r>
      <w:r>
        <w:rPr/>
        <w:t>Declaration</w:t>
      </w:r>
      <w:r>
        <w:rPr>
          <w:spacing w:val="-7"/>
        </w:rPr>
        <w:t> </w:t>
      </w:r>
      <w:r>
        <w:rPr/>
        <w:t>of</w:t>
      </w:r>
      <w:r>
        <w:rPr>
          <w:spacing w:val="-8"/>
        </w:rPr>
        <w:t> </w:t>
      </w:r>
      <w:r>
        <w:rPr/>
        <w:t>the</w:t>
      </w:r>
      <w:r>
        <w:rPr>
          <w:spacing w:val="-7"/>
        </w:rPr>
        <w:t> </w:t>
      </w:r>
      <w:r>
        <w:rPr/>
        <w:t>rights</w:t>
      </w:r>
      <w:r>
        <w:rPr>
          <w:spacing w:val="-7"/>
        </w:rPr>
        <w:t> </w:t>
      </w:r>
      <w:r>
        <w:rPr/>
        <w:t>of</w:t>
      </w:r>
      <w:r>
        <w:rPr>
          <w:spacing w:val="-8"/>
        </w:rPr>
        <w:t> </w:t>
      </w:r>
      <w:r>
        <w:rPr/>
        <w:t>the</w:t>
      </w:r>
      <w:r>
        <w:rPr>
          <w:spacing w:val="-7"/>
        </w:rPr>
        <w:t> </w:t>
      </w:r>
      <w:r>
        <w:rPr>
          <w:spacing w:val="-2"/>
        </w:rPr>
        <w:t>Disabled;</w:t>
      </w:r>
    </w:p>
    <w:p>
      <w:pPr>
        <w:pStyle w:val="BodyText"/>
        <w:rPr>
          <w:sz w:val="26"/>
        </w:rPr>
      </w:pPr>
    </w:p>
    <w:p>
      <w:pPr>
        <w:pStyle w:val="BodyText"/>
        <w:spacing w:before="2"/>
        <w:rPr>
          <w:sz w:val="22"/>
        </w:rPr>
      </w:pPr>
    </w:p>
    <w:p>
      <w:pPr>
        <w:pStyle w:val="BodyText"/>
        <w:spacing w:line="360" w:lineRule="auto" w:before="1"/>
        <w:ind w:left="104" w:right="138" w:firstLine="720"/>
        <w:jc w:val="both"/>
      </w:pPr>
      <w:r>
        <w:rPr>
          <w:b/>
          <w:u w:val="single"/>
        </w:rPr>
        <w:t>Recalling</w:t>
      </w:r>
      <w:r>
        <w:rPr>
          <w:b/>
        </w:rPr>
        <w:t> </w:t>
      </w:r>
      <w:r>
        <w:rPr/>
        <w:t>UN General Assembly Resolution No. 31/123 to the effect that the year 1981</w:t>
      </w:r>
      <w:r>
        <w:rPr>
          <w:spacing w:val="40"/>
        </w:rPr>
        <w:t> </w:t>
      </w:r>
      <w:r>
        <w:rPr/>
        <w:t>is to be the International Year of the Disabled, and will bear as an emblem “Total</w:t>
      </w:r>
      <w:r>
        <w:rPr>
          <w:spacing w:val="-1"/>
        </w:rPr>
        <w:t> </w:t>
      </w:r>
      <w:r>
        <w:rPr/>
        <w:t>Participation,” and devoting this year to the achievement of the following objectives:</w:t>
      </w:r>
    </w:p>
    <w:p>
      <w:pPr>
        <w:pStyle w:val="BodyText"/>
        <w:rPr>
          <w:sz w:val="36"/>
        </w:rPr>
      </w:pPr>
    </w:p>
    <w:p>
      <w:pPr>
        <w:pStyle w:val="ListParagraph"/>
        <w:numPr>
          <w:ilvl w:val="0"/>
          <w:numId w:val="1"/>
        </w:numPr>
        <w:tabs>
          <w:tab w:pos="1185" w:val="left" w:leader="none"/>
        </w:tabs>
        <w:spacing w:line="360" w:lineRule="auto" w:before="0" w:after="0"/>
        <w:ind w:left="1185" w:right="120" w:hanging="361"/>
        <w:jc w:val="both"/>
        <w:rPr>
          <w:sz w:val="24"/>
        </w:rPr>
      </w:pPr>
      <w:r>
        <w:rPr>
          <w:sz w:val="24"/>
        </w:rPr>
        <w:t>helping the disabled towards physical rehabilitation and psychological re-adjustment to the community,</w:t>
      </w:r>
    </w:p>
    <w:p>
      <w:pPr>
        <w:pStyle w:val="BodyText"/>
        <w:spacing w:before="1"/>
        <w:rPr>
          <w:sz w:val="36"/>
        </w:rPr>
      </w:pPr>
    </w:p>
    <w:p>
      <w:pPr>
        <w:pStyle w:val="ListParagraph"/>
        <w:numPr>
          <w:ilvl w:val="0"/>
          <w:numId w:val="1"/>
        </w:numPr>
        <w:tabs>
          <w:tab w:pos="1185" w:val="left" w:leader="none"/>
        </w:tabs>
        <w:spacing w:line="360" w:lineRule="auto" w:before="0" w:after="0"/>
        <w:ind w:left="1184" w:right="140" w:hanging="360"/>
        <w:jc w:val="both"/>
        <w:rPr>
          <w:sz w:val="24"/>
        </w:rPr>
      </w:pPr>
      <w:r>
        <w:rPr>
          <w:sz w:val="24"/>
        </w:rPr>
        <w:t>encouraging all efforts exerted at national and international levels for the purpose of providing</w:t>
      </w:r>
      <w:r>
        <w:rPr>
          <w:spacing w:val="-6"/>
          <w:sz w:val="24"/>
        </w:rPr>
        <w:t> </w:t>
      </w:r>
      <w:r>
        <w:rPr>
          <w:sz w:val="24"/>
        </w:rPr>
        <w:t>the</w:t>
      </w:r>
      <w:r>
        <w:rPr>
          <w:spacing w:val="-6"/>
          <w:sz w:val="24"/>
        </w:rPr>
        <w:t> </w:t>
      </w:r>
      <w:r>
        <w:rPr>
          <w:sz w:val="24"/>
        </w:rPr>
        <w:t>necessary</w:t>
      </w:r>
      <w:r>
        <w:rPr>
          <w:spacing w:val="-6"/>
          <w:sz w:val="24"/>
        </w:rPr>
        <w:t> </w:t>
      </w:r>
      <w:r>
        <w:rPr>
          <w:sz w:val="24"/>
        </w:rPr>
        <w:t>assistance,</w:t>
      </w:r>
      <w:r>
        <w:rPr>
          <w:spacing w:val="-4"/>
          <w:sz w:val="24"/>
        </w:rPr>
        <w:t> </w:t>
      </w:r>
      <w:r>
        <w:rPr>
          <w:sz w:val="24"/>
        </w:rPr>
        <w:t>care,</w:t>
      </w:r>
      <w:r>
        <w:rPr>
          <w:spacing w:val="-4"/>
          <w:sz w:val="24"/>
        </w:rPr>
        <w:t> </w:t>
      </w:r>
      <w:r>
        <w:rPr>
          <w:sz w:val="24"/>
        </w:rPr>
        <w:t>training</w:t>
      </w:r>
      <w:r>
        <w:rPr>
          <w:spacing w:val="-6"/>
          <w:sz w:val="24"/>
        </w:rPr>
        <w:t> </w:t>
      </w:r>
      <w:r>
        <w:rPr>
          <w:sz w:val="24"/>
        </w:rPr>
        <w:t>and</w:t>
      </w:r>
      <w:r>
        <w:rPr>
          <w:spacing w:val="-6"/>
          <w:sz w:val="24"/>
        </w:rPr>
        <w:t> </w:t>
      </w:r>
      <w:r>
        <w:rPr>
          <w:sz w:val="24"/>
        </w:rPr>
        <w:t>guidance</w:t>
      </w:r>
      <w:r>
        <w:rPr>
          <w:spacing w:val="-6"/>
          <w:sz w:val="24"/>
        </w:rPr>
        <w:t> </w:t>
      </w:r>
      <w:r>
        <w:rPr>
          <w:sz w:val="24"/>
        </w:rPr>
        <w:t>to</w:t>
      </w:r>
      <w:r>
        <w:rPr>
          <w:spacing w:val="-4"/>
          <w:sz w:val="24"/>
        </w:rPr>
        <w:t> </w:t>
      </w:r>
      <w:r>
        <w:rPr>
          <w:sz w:val="24"/>
        </w:rPr>
        <w:t>the</w:t>
      </w:r>
      <w:r>
        <w:rPr>
          <w:spacing w:val="-6"/>
          <w:sz w:val="24"/>
        </w:rPr>
        <w:t> </w:t>
      </w:r>
      <w:r>
        <w:rPr>
          <w:sz w:val="24"/>
        </w:rPr>
        <w:t>disabled,</w:t>
      </w:r>
      <w:r>
        <w:rPr>
          <w:spacing w:val="-4"/>
          <w:sz w:val="24"/>
        </w:rPr>
        <w:t> </w:t>
      </w:r>
      <w:r>
        <w:rPr>
          <w:sz w:val="24"/>
        </w:rPr>
        <w:t>as</w:t>
      </w:r>
      <w:r>
        <w:rPr>
          <w:spacing w:val="-6"/>
          <w:sz w:val="24"/>
        </w:rPr>
        <w:t> </w:t>
      </w:r>
      <w:r>
        <w:rPr>
          <w:sz w:val="24"/>
        </w:rPr>
        <w:t>well as adequate employment opportunities in addition to ensuring their total integration within the community;</w:t>
      </w:r>
    </w:p>
    <w:p>
      <w:pPr>
        <w:pStyle w:val="BodyText"/>
        <w:spacing w:before="10"/>
        <w:rPr>
          <w:sz w:val="35"/>
        </w:rPr>
      </w:pPr>
    </w:p>
    <w:p>
      <w:pPr>
        <w:pStyle w:val="ListParagraph"/>
        <w:numPr>
          <w:ilvl w:val="0"/>
          <w:numId w:val="1"/>
        </w:numPr>
        <w:tabs>
          <w:tab w:pos="1185" w:val="left" w:leader="none"/>
        </w:tabs>
        <w:spacing w:line="360" w:lineRule="auto" w:before="1" w:after="0"/>
        <w:ind w:left="1184" w:right="133" w:hanging="360"/>
        <w:jc w:val="both"/>
        <w:rPr>
          <w:sz w:val="24"/>
        </w:rPr>
      </w:pPr>
      <w:r>
        <w:rPr>
          <w:sz w:val="24"/>
        </w:rPr>
        <w:t>promoting study and research projects aimed at easing in practical manner the participation of the disabled in daily life, by providing for their use public buildings and communications facilities fully adopted to their needs;</w:t>
      </w:r>
    </w:p>
    <w:p>
      <w:pPr>
        <w:pStyle w:val="BodyText"/>
        <w:rPr>
          <w:sz w:val="36"/>
        </w:rPr>
      </w:pPr>
    </w:p>
    <w:p>
      <w:pPr>
        <w:pStyle w:val="ListParagraph"/>
        <w:numPr>
          <w:ilvl w:val="0"/>
          <w:numId w:val="1"/>
        </w:numPr>
        <w:tabs>
          <w:tab w:pos="1186" w:val="left" w:leader="none"/>
        </w:tabs>
        <w:spacing w:line="360" w:lineRule="auto" w:before="0" w:after="0"/>
        <w:ind w:left="1184" w:right="137" w:hanging="360"/>
        <w:jc w:val="both"/>
        <w:rPr>
          <w:sz w:val="24"/>
        </w:rPr>
      </w:pPr>
      <w:r>
        <w:rPr>
          <w:sz w:val="24"/>
        </w:rPr>
        <w:t>teaching and instilling awareness in the public as to the rights of the disabled to participate in the various aspects of economic, social and political life, as well as contributing to them,</w:t>
      </w:r>
    </w:p>
    <w:p>
      <w:pPr>
        <w:spacing w:after="0" w:line="360" w:lineRule="auto"/>
        <w:jc w:val="both"/>
        <w:rPr>
          <w:sz w:val="24"/>
        </w:rPr>
        <w:sectPr>
          <w:headerReference w:type="default" r:id="rId5"/>
          <w:type w:val="continuous"/>
          <w:pgSz w:w="12240" w:h="15840"/>
          <w:pgMar w:header="727" w:footer="0" w:top="980" w:bottom="280" w:left="1340" w:right="1320"/>
          <w:pgNumType w:start="1"/>
        </w:sectPr>
      </w:pPr>
    </w:p>
    <w:p>
      <w:pPr>
        <w:pStyle w:val="BodyText"/>
        <w:spacing w:before="3"/>
        <w:rPr>
          <w:sz w:val="28"/>
        </w:rPr>
      </w:pPr>
    </w:p>
    <w:p>
      <w:pPr>
        <w:pStyle w:val="ListParagraph"/>
        <w:numPr>
          <w:ilvl w:val="0"/>
          <w:numId w:val="1"/>
        </w:numPr>
        <w:tabs>
          <w:tab w:pos="1185" w:val="left" w:leader="none"/>
        </w:tabs>
        <w:spacing w:line="360" w:lineRule="auto" w:before="90" w:after="0"/>
        <w:ind w:left="1184" w:right="113" w:hanging="360"/>
        <w:jc w:val="both"/>
        <w:rPr>
          <w:sz w:val="24"/>
        </w:rPr>
      </w:pPr>
      <w:r>
        <w:rPr>
          <w:sz w:val="24"/>
        </w:rPr>
        <w:t>favouring</w:t>
      </w:r>
      <w:r>
        <w:rPr>
          <w:spacing w:val="-15"/>
          <w:sz w:val="24"/>
        </w:rPr>
        <w:t> </w:t>
      </w:r>
      <w:r>
        <w:rPr>
          <w:sz w:val="24"/>
        </w:rPr>
        <w:t>the</w:t>
      </w:r>
      <w:r>
        <w:rPr>
          <w:spacing w:val="-3"/>
          <w:sz w:val="24"/>
        </w:rPr>
        <w:t> </w:t>
      </w:r>
      <w:r>
        <w:rPr>
          <w:sz w:val="24"/>
        </w:rPr>
        <w:t>adoption</w:t>
      </w:r>
      <w:r>
        <w:rPr>
          <w:spacing w:val="-1"/>
          <w:sz w:val="24"/>
        </w:rPr>
        <w:t> </w:t>
      </w:r>
      <w:r>
        <w:rPr>
          <w:sz w:val="24"/>
        </w:rPr>
        <w:t>of</w:t>
      </w:r>
      <w:r>
        <w:rPr>
          <w:spacing w:val="-1"/>
          <w:sz w:val="24"/>
        </w:rPr>
        <w:t> </w:t>
      </w:r>
      <w:r>
        <w:rPr>
          <w:sz w:val="24"/>
        </w:rPr>
        <w:t>efficient measures</w:t>
      </w:r>
      <w:r>
        <w:rPr>
          <w:spacing w:val="-1"/>
          <w:sz w:val="24"/>
        </w:rPr>
        <w:t> </w:t>
      </w:r>
      <w:r>
        <w:rPr>
          <w:sz w:val="24"/>
        </w:rPr>
        <w:t>for</w:t>
      </w:r>
      <w:r>
        <w:rPr>
          <w:spacing w:val="-1"/>
          <w:sz w:val="24"/>
        </w:rPr>
        <w:t> </w:t>
      </w:r>
      <w:r>
        <w:rPr>
          <w:sz w:val="24"/>
        </w:rPr>
        <w:t>protecting</w:t>
      </w:r>
      <w:r>
        <w:rPr>
          <w:spacing w:val="-1"/>
          <w:sz w:val="24"/>
        </w:rPr>
        <w:t> </w:t>
      </w:r>
      <w:r>
        <w:rPr>
          <w:sz w:val="24"/>
        </w:rPr>
        <w:t>against total</w:t>
      </w:r>
      <w:r>
        <w:rPr>
          <w:spacing w:val="-1"/>
          <w:sz w:val="24"/>
        </w:rPr>
        <w:t> </w:t>
      </w:r>
      <w:r>
        <w:rPr>
          <w:sz w:val="24"/>
        </w:rPr>
        <w:t>disability</w:t>
      </w:r>
      <w:r>
        <w:rPr>
          <w:spacing w:val="-1"/>
          <w:sz w:val="24"/>
        </w:rPr>
        <w:t> </w:t>
      </w:r>
      <w:r>
        <w:rPr>
          <w:sz w:val="24"/>
        </w:rPr>
        <w:t>an</w:t>
      </w:r>
      <w:r>
        <w:rPr>
          <w:spacing w:val="-15"/>
          <w:sz w:val="24"/>
        </w:rPr>
        <w:t> </w:t>
      </w:r>
      <w:r>
        <w:rPr>
          <w:sz w:val="24"/>
        </w:rPr>
        <w:t>d for the rehabilitation of the disabled.</w:t>
      </w:r>
    </w:p>
    <w:p>
      <w:pPr>
        <w:pStyle w:val="BodyText"/>
        <w:spacing w:before="8"/>
        <w:rPr>
          <w:sz w:val="35"/>
        </w:rPr>
      </w:pPr>
    </w:p>
    <w:p>
      <w:pPr>
        <w:pStyle w:val="BodyText"/>
        <w:spacing w:line="360" w:lineRule="auto"/>
        <w:ind w:left="104" w:right="132" w:firstLine="720"/>
        <w:jc w:val="both"/>
      </w:pPr>
      <w:r>
        <w:rPr>
          <w:b/>
          <w:u w:val="single"/>
        </w:rPr>
        <w:t>Recalling</w:t>
      </w:r>
      <w:r>
        <w:rPr>
          <w:b/>
        </w:rPr>
        <w:t> </w:t>
      </w:r>
      <w:r>
        <w:rPr/>
        <w:t>also United Nations General Assembly resolution No. 32/133 of 16 December 1977 and paragraphs 1 and 82, in particular that in which the Secretary General urges the Member States to adopt certain measures for the celebration of the International year of the </w:t>
      </w:r>
      <w:r>
        <w:rPr>
          <w:spacing w:val="-2"/>
        </w:rPr>
        <w:t>Disabled;</w:t>
      </w:r>
    </w:p>
    <w:p>
      <w:pPr>
        <w:pStyle w:val="BodyText"/>
        <w:spacing w:before="4"/>
        <w:rPr>
          <w:sz w:val="36"/>
        </w:rPr>
      </w:pPr>
    </w:p>
    <w:p>
      <w:pPr>
        <w:pStyle w:val="ListParagraph"/>
        <w:numPr>
          <w:ilvl w:val="0"/>
          <w:numId w:val="2"/>
        </w:numPr>
        <w:tabs>
          <w:tab w:pos="1185" w:val="left" w:leader="none"/>
        </w:tabs>
        <w:spacing w:line="360" w:lineRule="auto" w:before="0" w:after="0"/>
        <w:ind w:left="1184" w:right="134" w:hanging="360"/>
        <w:jc w:val="both"/>
        <w:rPr>
          <w:sz w:val="24"/>
        </w:rPr>
      </w:pPr>
      <w:r>
        <w:rPr>
          <w:b/>
          <w:sz w:val="24"/>
        </w:rPr>
        <w:t>DECIDES </w:t>
      </w:r>
      <w:r>
        <w:rPr>
          <w:sz w:val="24"/>
        </w:rPr>
        <w:t>to examine the possibility of holding a regional meeting or seminar at African level to discuss the problem of the disabled and ways and means of putting into effect the objectives of the International Year of Disabled;</w:t>
      </w:r>
    </w:p>
    <w:p>
      <w:pPr>
        <w:pStyle w:val="BodyText"/>
        <w:rPr>
          <w:sz w:val="36"/>
        </w:rPr>
      </w:pPr>
    </w:p>
    <w:p>
      <w:pPr>
        <w:pStyle w:val="ListParagraph"/>
        <w:numPr>
          <w:ilvl w:val="0"/>
          <w:numId w:val="2"/>
        </w:numPr>
        <w:tabs>
          <w:tab w:pos="1185" w:val="left" w:leader="none"/>
        </w:tabs>
        <w:spacing w:line="360" w:lineRule="auto" w:before="0" w:after="0"/>
        <w:ind w:left="1185" w:right="142" w:hanging="361"/>
        <w:jc w:val="both"/>
        <w:rPr>
          <w:sz w:val="24"/>
        </w:rPr>
      </w:pPr>
      <w:r>
        <w:rPr>
          <w:b/>
          <w:sz w:val="24"/>
        </w:rPr>
        <w:t>URGES </w:t>
      </w:r>
      <w:r>
        <w:rPr>
          <w:sz w:val="24"/>
        </w:rPr>
        <w:t>all African countries to observe the Year 1981 as the International Year of the Disabled;</w:t>
      </w:r>
    </w:p>
    <w:p>
      <w:pPr>
        <w:pStyle w:val="BodyText"/>
        <w:spacing w:before="8"/>
        <w:rPr>
          <w:sz w:val="35"/>
        </w:rPr>
      </w:pPr>
    </w:p>
    <w:p>
      <w:pPr>
        <w:pStyle w:val="ListParagraph"/>
        <w:numPr>
          <w:ilvl w:val="0"/>
          <w:numId w:val="2"/>
        </w:numPr>
        <w:tabs>
          <w:tab w:pos="1185" w:val="left" w:leader="none"/>
        </w:tabs>
        <w:spacing w:line="360" w:lineRule="auto" w:before="0" w:after="0"/>
        <w:ind w:left="1184" w:right="123" w:hanging="360"/>
        <w:jc w:val="both"/>
        <w:rPr>
          <w:sz w:val="24"/>
        </w:rPr>
      </w:pPr>
      <w:r>
        <w:rPr>
          <w:b/>
          <w:sz w:val="24"/>
        </w:rPr>
        <w:t>REQUESTS </w:t>
      </w:r>
      <w:r>
        <w:rPr>
          <w:sz w:val="24"/>
        </w:rPr>
        <w:t>the OAU Administrative Secretary-General to service the Regional Meetings or Seminar proposed in Para 1 above and to report on its outcome to the Council of Ministers with a view to enabling Member States to adopt appropriate measures in the observance of the International Year of the Disabled.</w:t>
      </w:r>
    </w:p>
    <w:sectPr>
      <w:pgSz w:w="12240" w:h="15840"/>
      <w:pgMar w:header="727" w:footer="0"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8.200012pt;margin-top:35.346642pt;width:102.95pt;height:15.3pt;mso-position-horizontal-relative:page;mso-position-vertical-relative:page;z-index:-15763456" type="#_x0000_t202" id="docshape1" filled="false" stroked="false">
          <v:textbox inset="0,0,0,0">
            <w:txbxContent>
              <w:p>
                <w:pPr>
                  <w:pStyle w:val="BodyText"/>
                  <w:spacing w:before="10"/>
                  <w:ind w:left="20"/>
                </w:pPr>
                <w:r>
                  <w:rPr/>
                  <w:t>CM/Res.</w:t>
                </w:r>
                <w:r>
                  <w:rPr>
                    <w:spacing w:val="-4"/>
                  </w:rPr>
                  <w:t> </w:t>
                </w:r>
                <w:r>
                  <w:rPr/>
                  <w:t>594</w:t>
                </w:r>
                <w:r>
                  <w:rPr>
                    <w:spacing w:val="-5"/>
                  </w:rPr>
                  <w:t> </w:t>
                </w:r>
                <w:r>
                  <w:rPr>
                    <w:spacing w:val="-4"/>
                  </w:rPr>
                  <w:t>(XXX)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0">
    <w:multiLevelType w:val="hybridMultilevel"/>
    <w:lvl w:ilvl="0">
      <w:start w:val="1"/>
      <w:numFmt w:val="lowerLetter"/>
      <w:lvlText w:val="%1)"/>
      <w:lvlJc w:val="left"/>
      <w:pPr>
        <w:ind w:left="1185" w:hanging="36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2"/>
      <w:ind w:left="949"/>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2023-06-07T08:54:29Z</dcterms:created>
  <dcterms:modified xsi:type="dcterms:W3CDTF">2023-06-07T08:54:29Z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