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2" w:lineRule="auto" w:before="2"/>
        <w:ind w:right="1180"/>
        <w:rPr>
          <w:u w:val="none"/>
        </w:rPr>
      </w:pPr>
      <w:r>
        <w:rPr>
          <w:u w:val="single"/>
        </w:rPr>
        <w:t>RESOLUTION</w:t>
      </w:r>
      <w:r>
        <w:rPr>
          <w:spacing w:val="-13"/>
          <w:u w:val="single"/>
        </w:rPr>
        <w:t> </w:t>
      </w:r>
      <w:r>
        <w:rPr>
          <w:u w:val="single"/>
        </w:rPr>
        <w:t>ON</w:t>
      </w:r>
      <w:r>
        <w:rPr>
          <w:spacing w:val="-13"/>
          <w:u w:val="single"/>
        </w:rPr>
        <w:t> </w:t>
      </w:r>
      <w:r>
        <w:rPr>
          <w:u w:val="single"/>
        </w:rPr>
        <w:t>THE</w:t>
      </w:r>
      <w:r>
        <w:rPr>
          <w:spacing w:val="-13"/>
          <w:u w:val="single"/>
        </w:rPr>
        <w:t> </w:t>
      </w:r>
      <w:r>
        <w:rPr>
          <w:u w:val="single"/>
        </w:rPr>
        <w:t>ACTIVITIES</w:t>
      </w:r>
      <w:r>
        <w:rPr>
          <w:spacing w:val="-14"/>
          <w:u w:val="single"/>
        </w:rPr>
        <w:t> </w:t>
      </w:r>
      <w:r>
        <w:rPr>
          <w:u w:val="single"/>
        </w:rPr>
        <w:t>OF</w:t>
      </w:r>
      <w:r>
        <w:rPr>
          <w:spacing w:val="-12"/>
          <w:u w:val="single"/>
        </w:rPr>
        <w:t> </w:t>
      </w:r>
      <w:r>
        <w:rPr>
          <w:u w:val="single"/>
        </w:rPr>
        <w:t>THE</w:t>
      </w:r>
      <w:r>
        <w:rPr>
          <w:spacing w:val="-13"/>
          <w:u w:val="single"/>
        </w:rPr>
        <w:t> </w:t>
      </w:r>
      <w:r>
        <w:rPr>
          <w:u w:val="single"/>
        </w:rPr>
        <w:t>ADMINISTRATIVE</w:t>
      </w:r>
      <w:r>
        <w:rPr>
          <w:u w:val="none"/>
        </w:rPr>
        <w:t> </w:t>
      </w:r>
      <w:r>
        <w:rPr>
          <w:u w:val="single"/>
        </w:rPr>
        <w:t>SECRETARY GENERAL IN THE FIELD OF</w:t>
      </w:r>
    </w:p>
    <w:p>
      <w:pPr>
        <w:pStyle w:val="Title"/>
        <w:spacing w:line="273" w:lineRule="exact"/>
        <w:rPr>
          <w:u w:val="none"/>
        </w:rPr>
      </w:pPr>
      <w:r>
        <w:rPr>
          <w:u w:val="single"/>
        </w:rPr>
        <w:t>AFRO-ARAB</w:t>
      </w:r>
      <w:r>
        <w:rPr>
          <w:spacing w:val="-3"/>
          <w:u w:val="single"/>
        </w:rPr>
        <w:t> </w:t>
      </w:r>
      <w:r>
        <w:rPr>
          <w:u w:val="single"/>
        </w:rPr>
        <w:t>CO-</w:t>
      </w:r>
      <w:r>
        <w:rPr>
          <w:spacing w:val="-2"/>
          <w:u w:val="single"/>
        </w:rPr>
        <w:t>OPERATION</w:t>
      </w:r>
    </w:p>
    <w:p>
      <w:pPr>
        <w:pStyle w:val="BodyText"/>
        <w:rPr>
          <w:b/>
          <w:sz w:val="20"/>
        </w:rPr>
      </w:pPr>
    </w:p>
    <w:p>
      <w:pPr>
        <w:pStyle w:val="BodyText"/>
        <w:spacing w:before="6"/>
        <w:rPr>
          <w:b/>
          <w:sz w:val="19"/>
        </w:rPr>
      </w:pPr>
    </w:p>
    <w:p>
      <w:pPr>
        <w:pStyle w:val="BodyText"/>
        <w:spacing w:line="362" w:lineRule="auto" w:before="90"/>
        <w:ind w:left="104" w:firstLine="720"/>
      </w:pPr>
      <w:r>
        <w:rPr/>
        <w:t>The</w:t>
      </w:r>
      <w:r>
        <w:rPr>
          <w:spacing w:val="22"/>
        </w:rPr>
        <w:t> </w:t>
      </w:r>
      <w:r>
        <w:rPr/>
        <w:t>Council</w:t>
      </w:r>
      <w:r>
        <w:rPr>
          <w:spacing w:val="22"/>
        </w:rPr>
        <w:t> </w:t>
      </w:r>
      <w:r>
        <w:rPr/>
        <w:t>of</w:t>
      </w:r>
      <w:r>
        <w:rPr>
          <w:spacing w:val="22"/>
        </w:rPr>
        <w:t> </w:t>
      </w:r>
      <w:r>
        <w:rPr/>
        <w:t>Ministers</w:t>
      </w:r>
      <w:r>
        <w:rPr>
          <w:spacing w:val="22"/>
        </w:rPr>
        <w:t> </w:t>
      </w:r>
      <w:r>
        <w:rPr/>
        <w:t>of</w:t>
      </w:r>
      <w:r>
        <w:rPr>
          <w:spacing w:val="22"/>
        </w:rPr>
        <w:t> </w:t>
      </w:r>
      <w:r>
        <w:rPr/>
        <w:t>the</w:t>
      </w:r>
      <w:r>
        <w:rPr>
          <w:spacing w:val="22"/>
        </w:rPr>
        <w:t> </w:t>
      </w:r>
      <w:r>
        <w:rPr/>
        <w:t>Organization</w:t>
      </w:r>
      <w:r>
        <w:rPr>
          <w:spacing w:val="22"/>
        </w:rPr>
        <w:t> </w:t>
      </w:r>
      <w:r>
        <w:rPr/>
        <w:t>of</w:t>
      </w:r>
      <w:r>
        <w:rPr>
          <w:spacing w:val="22"/>
        </w:rPr>
        <w:t> </w:t>
      </w:r>
      <w:r>
        <w:rPr/>
        <w:t>African</w:t>
      </w:r>
      <w:r>
        <w:rPr>
          <w:spacing w:val="22"/>
        </w:rPr>
        <w:t> </w:t>
      </w:r>
      <w:r>
        <w:rPr/>
        <w:t>Unity</w:t>
      </w:r>
      <w:r>
        <w:rPr>
          <w:spacing w:val="22"/>
        </w:rPr>
        <w:t> </w:t>
      </w:r>
      <w:r>
        <w:rPr/>
        <w:t>meeting</w:t>
      </w:r>
      <w:r>
        <w:rPr>
          <w:spacing w:val="22"/>
        </w:rPr>
        <w:t> </w:t>
      </w:r>
      <w:r>
        <w:rPr/>
        <w:t>in</w:t>
      </w:r>
      <w:r>
        <w:rPr>
          <w:spacing w:val="22"/>
        </w:rPr>
        <w:t> </w:t>
      </w:r>
      <w:r>
        <w:rPr/>
        <w:t>its</w:t>
      </w:r>
      <w:r>
        <w:rPr>
          <w:spacing w:val="22"/>
        </w:rPr>
        <w:t> </w:t>
      </w:r>
      <w:r>
        <w:rPr/>
        <w:t>Thirtieth Ordinary Session in Tripoli, Libya from 20 to 28 February, 1978,</w:t>
      </w:r>
    </w:p>
    <w:p>
      <w:pPr>
        <w:pStyle w:val="BodyText"/>
        <w:spacing w:before="8"/>
        <w:rPr>
          <w:sz w:val="35"/>
        </w:rPr>
      </w:pPr>
    </w:p>
    <w:p>
      <w:pPr>
        <w:pStyle w:val="BodyText"/>
        <w:spacing w:line="360" w:lineRule="auto"/>
        <w:ind w:left="105" w:firstLine="719"/>
      </w:pPr>
      <w:r>
        <w:rPr>
          <w:b/>
          <w:u w:val="single"/>
        </w:rPr>
        <w:t>Having examined</w:t>
      </w:r>
      <w:r>
        <w:rPr>
          <w:b/>
        </w:rPr>
        <w:t> </w:t>
      </w:r>
      <w:r>
        <w:rPr/>
        <w:t>the report of the Administrative Secretary-General on the activities of the Organization of African Unity General Secretariat in the field of Afro-Arab Co-operation</w:t>
      </w:r>
    </w:p>
    <w:p>
      <w:pPr>
        <w:pStyle w:val="BodyText"/>
        <w:spacing w:before="1"/>
        <w:rPr>
          <w:sz w:val="36"/>
        </w:rPr>
      </w:pPr>
    </w:p>
    <w:p>
      <w:pPr>
        <w:pStyle w:val="BodyText"/>
        <w:spacing w:line="360" w:lineRule="auto"/>
        <w:ind w:left="104" w:firstLine="720"/>
      </w:pPr>
      <w:r>
        <w:rPr>
          <w:b/>
          <w:u w:val="single"/>
        </w:rPr>
        <w:t>Recalling</w:t>
      </w:r>
      <w:r>
        <w:rPr>
          <w:b/>
          <w:spacing w:val="19"/>
        </w:rPr>
        <w:t> </w:t>
      </w:r>
      <w:r>
        <w:rPr/>
        <w:t>the</w:t>
      </w:r>
      <w:r>
        <w:rPr>
          <w:spacing w:val="22"/>
        </w:rPr>
        <w:t> </w:t>
      </w:r>
      <w:r>
        <w:rPr/>
        <w:t>resolutions</w:t>
      </w:r>
      <w:r>
        <w:rPr>
          <w:spacing w:val="22"/>
        </w:rPr>
        <w:t> </w:t>
      </w:r>
      <w:r>
        <w:rPr/>
        <w:t>and</w:t>
      </w:r>
      <w:r>
        <w:rPr>
          <w:spacing w:val="22"/>
        </w:rPr>
        <w:t> </w:t>
      </w:r>
      <w:r>
        <w:rPr/>
        <w:t>declaration</w:t>
      </w:r>
      <w:r>
        <w:rPr>
          <w:spacing w:val="23"/>
        </w:rPr>
        <w:t> </w:t>
      </w:r>
      <w:r>
        <w:rPr/>
        <w:t>of</w:t>
      </w:r>
      <w:r>
        <w:rPr>
          <w:spacing w:val="23"/>
        </w:rPr>
        <w:t> </w:t>
      </w:r>
      <w:r>
        <w:rPr/>
        <w:t>the</w:t>
      </w:r>
      <w:r>
        <w:rPr>
          <w:spacing w:val="22"/>
        </w:rPr>
        <w:t> </w:t>
      </w:r>
      <w:r>
        <w:rPr/>
        <w:t>First</w:t>
      </w:r>
      <w:r>
        <w:rPr>
          <w:spacing w:val="25"/>
        </w:rPr>
        <w:t> </w:t>
      </w:r>
      <w:r>
        <w:rPr/>
        <w:t>Joint</w:t>
      </w:r>
      <w:r>
        <w:rPr>
          <w:spacing w:val="25"/>
        </w:rPr>
        <w:t> </w:t>
      </w:r>
      <w:r>
        <w:rPr/>
        <w:t>Afro</w:t>
      </w:r>
      <w:r>
        <w:rPr>
          <w:spacing w:val="-28"/>
        </w:rPr>
        <w:t> </w:t>
      </w:r>
      <w:r>
        <w:rPr/>
        <w:t>-Arab</w:t>
      </w:r>
      <w:r>
        <w:rPr>
          <w:spacing w:val="20"/>
        </w:rPr>
        <w:t> </w:t>
      </w:r>
      <w:r>
        <w:rPr/>
        <w:t>summit</w:t>
      </w:r>
      <w:r>
        <w:rPr>
          <w:spacing w:val="21"/>
        </w:rPr>
        <w:t> </w:t>
      </w:r>
      <w:r>
        <w:rPr/>
        <w:t>in</w:t>
      </w:r>
      <w:r>
        <w:rPr>
          <w:spacing w:val="20"/>
        </w:rPr>
        <w:t> </w:t>
      </w:r>
      <w:r>
        <w:rPr/>
        <w:t>Cairo and of the Second Joint Afro-Arab Ministerial meeting;</w:t>
      </w:r>
    </w:p>
    <w:p>
      <w:pPr>
        <w:pStyle w:val="BodyText"/>
        <w:spacing w:before="1"/>
        <w:rPr>
          <w:sz w:val="36"/>
        </w:rPr>
      </w:pPr>
    </w:p>
    <w:p>
      <w:pPr>
        <w:pStyle w:val="BodyText"/>
        <w:ind w:left="824"/>
      </w:pPr>
      <w:r>
        <w:rPr>
          <w:b/>
          <w:u w:val="single"/>
        </w:rPr>
        <w:t>Referring</w:t>
      </w:r>
      <w:r>
        <w:rPr>
          <w:b/>
          <w:spacing w:val="-3"/>
        </w:rPr>
        <w:t> </w:t>
      </w:r>
      <w:r>
        <w:rPr/>
        <w:t>to</w:t>
      </w:r>
      <w:r>
        <w:rPr>
          <w:spacing w:val="-5"/>
        </w:rPr>
        <w:t> </w:t>
      </w:r>
      <w:r>
        <w:rPr/>
        <w:t>its</w:t>
      </w:r>
      <w:r>
        <w:rPr>
          <w:spacing w:val="-6"/>
        </w:rPr>
        <w:t> </w:t>
      </w:r>
      <w:r>
        <w:rPr/>
        <w:t>resolution</w:t>
      </w:r>
      <w:r>
        <w:rPr>
          <w:spacing w:val="-6"/>
        </w:rPr>
        <w:t> </w:t>
      </w:r>
      <w:r>
        <w:rPr/>
        <w:t>CM/576</w:t>
      </w:r>
      <w:r>
        <w:rPr>
          <w:spacing w:val="-6"/>
        </w:rPr>
        <w:t> </w:t>
      </w:r>
      <w:r>
        <w:rPr/>
        <w:t>(XXIX)</w:t>
      </w:r>
      <w:r>
        <w:rPr>
          <w:spacing w:val="-6"/>
        </w:rPr>
        <w:t> </w:t>
      </w:r>
      <w:r>
        <w:rPr/>
        <w:t>on</w:t>
      </w:r>
      <w:r>
        <w:rPr>
          <w:spacing w:val="-6"/>
        </w:rPr>
        <w:t> </w:t>
      </w:r>
      <w:r>
        <w:rPr/>
        <w:t>Afro-Arab</w:t>
      </w:r>
      <w:r>
        <w:rPr>
          <w:spacing w:val="-6"/>
        </w:rPr>
        <w:t> </w:t>
      </w:r>
      <w:r>
        <w:rPr/>
        <w:t>Co-</w:t>
      </w:r>
      <w:r>
        <w:rPr>
          <w:spacing w:val="-2"/>
        </w:rPr>
        <w:t>operation:</w:t>
      </w:r>
    </w:p>
    <w:p>
      <w:pPr>
        <w:pStyle w:val="BodyText"/>
        <w:rPr>
          <w:sz w:val="26"/>
        </w:rPr>
      </w:pPr>
    </w:p>
    <w:p>
      <w:pPr>
        <w:pStyle w:val="BodyText"/>
        <w:spacing w:before="9"/>
        <w:rPr>
          <w:sz w:val="21"/>
        </w:rPr>
      </w:pPr>
    </w:p>
    <w:p>
      <w:pPr>
        <w:pStyle w:val="ListParagraph"/>
        <w:numPr>
          <w:ilvl w:val="0"/>
          <w:numId w:val="1"/>
        </w:numPr>
        <w:tabs>
          <w:tab w:pos="1185" w:val="left" w:leader="none"/>
        </w:tabs>
        <w:spacing w:line="360" w:lineRule="auto" w:before="1" w:after="0"/>
        <w:ind w:left="1184" w:right="127" w:hanging="360"/>
        <w:jc w:val="both"/>
        <w:rPr>
          <w:sz w:val="24"/>
        </w:rPr>
      </w:pPr>
      <w:r>
        <w:rPr>
          <w:b/>
          <w:sz w:val="24"/>
        </w:rPr>
        <w:t>TAKES NOTE </w:t>
      </w:r>
      <w:r>
        <w:rPr>
          <w:sz w:val="24"/>
        </w:rPr>
        <w:t>with satisfaction of the report of the Administrative Secretary General on Afro-Arab Co-operation;</w:t>
      </w:r>
    </w:p>
    <w:p>
      <w:pPr>
        <w:pStyle w:val="BodyText"/>
        <w:spacing w:before="1"/>
        <w:rPr>
          <w:sz w:val="36"/>
        </w:rPr>
      </w:pPr>
    </w:p>
    <w:p>
      <w:pPr>
        <w:pStyle w:val="ListParagraph"/>
        <w:numPr>
          <w:ilvl w:val="0"/>
          <w:numId w:val="1"/>
        </w:numPr>
        <w:tabs>
          <w:tab w:pos="1185" w:val="left" w:leader="none"/>
        </w:tabs>
        <w:spacing w:line="360" w:lineRule="auto" w:before="0" w:after="0"/>
        <w:ind w:left="1184" w:right="99" w:hanging="360"/>
        <w:jc w:val="both"/>
        <w:rPr>
          <w:sz w:val="24"/>
        </w:rPr>
      </w:pPr>
      <w:r>
        <w:rPr>
          <w:b/>
          <w:sz w:val="24"/>
        </w:rPr>
        <w:t>ENDORSES </w:t>
      </w:r>
      <w:r>
        <w:rPr>
          <w:sz w:val="24"/>
        </w:rPr>
        <w:t>the recommendation and resolutions of the Standing Commission for Arab Co-operation in its second session in Cairo and CALLS UPON it to exert maximum effort to transform into action the resolution and declarations of the Joint </w:t>
      </w:r>
      <w:r>
        <w:rPr>
          <w:spacing w:val="-2"/>
          <w:sz w:val="24"/>
        </w:rPr>
        <w:t>summit;</w:t>
      </w:r>
    </w:p>
    <w:p>
      <w:pPr>
        <w:pStyle w:val="BodyText"/>
        <w:spacing w:before="10"/>
        <w:rPr>
          <w:sz w:val="35"/>
        </w:rPr>
      </w:pPr>
    </w:p>
    <w:p>
      <w:pPr>
        <w:pStyle w:val="ListParagraph"/>
        <w:numPr>
          <w:ilvl w:val="0"/>
          <w:numId w:val="1"/>
        </w:numPr>
        <w:tabs>
          <w:tab w:pos="1185" w:val="left" w:leader="none"/>
        </w:tabs>
        <w:spacing w:line="360" w:lineRule="auto" w:before="0" w:after="0"/>
        <w:ind w:left="1184" w:right="100" w:hanging="360"/>
        <w:jc w:val="both"/>
        <w:rPr>
          <w:sz w:val="24"/>
        </w:rPr>
      </w:pPr>
      <w:r>
        <w:rPr>
          <w:b/>
          <w:sz w:val="24"/>
        </w:rPr>
        <w:t>AUTHORISES </w:t>
      </w:r>
      <w:r>
        <w:rPr>
          <w:sz w:val="24"/>
        </w:rPr>
        <w:t>the Secretary General to pay the OAU contribution to the Special Fund for the running of the executive bodies for Afro-Arab Co-operation which amounts to US$350,462.00;</w:t>
      </w:r>
    </w:p>
    <w:p>
      <w:pPr>
        <w:pStyle w:val="BodyText"/>
        <w:rPr>
          <w:sz w:val="36"/>
        </w:rPr>
      </w:pPr>
    </w:p>
    <w:p>
      <w:pPr>
        <w:pStyle w:val="ListParagraph"/>
        <w:numPr>
          <w:ilvl w:val="0"/>
          <w:numId w:val="1"/>
        </w:numPr>
        <w:tabs>
          <w:tab w:pos="1185" w:val="left" w:leader="none"/>
        </w:tabs>
        <w:spacing w:line="360" w:lineRule="auto" w:before="0" w:after="0"/>
        <w:ind w:left="1184" w:right="108" w:hanging="360"/>
        <w:jc w:val="both"/>
        <w:rPr>
          <w:sz w:val="24"/>
        </w:rPr>
      </w:pPr>
      <w:r>
        <w:rPr>
          <w:b/>
          <w:sz w:val="24"/>
        </w:rPr>
        <w:t>URGES </w:t>
      </w:r>
      <w:r>
        <w:rPr>
          <w:sz w:val="24"/>
        </w:rPr>
        <w:t>Member States which have been called upon to appoint experts representing the African side in the meeting of the Working Group to see to it that t</w:t>
      </w:r>
      <w:r>
        <w:rPr>
          <w:spacing w:val="-15"/>
          <w:sz w:val="24"/>
        </w:rPr>
        <w:t> </w:t>
      </w:r>
      <w:r>
        <w:rPr>
          <w:sz w:val="24"/>
        </w:rPr>
        <w:t>hose experts should be of the highest calibre possible;</w:t>
      </w:r>
    </w:p>
    <w:p>
      <w:pPr>
        <w:pStyle w:val="BodyText"/>
        <w:rPr>
          <w:sz w:val="36"/>
        </w:rPr>
      </w:pPr>
    </w:p>
    <w:p>
      <w:pPr>
        <w:pStyle w:val="ListParagraph"/>
        <w:numPr>
          <w:ilvl w:val="0"/>
          <w:numId w:val="1"/>
        </w:numPr>
        <w:tabs>
          <w:tab w:pos="1185" w:val="left" w:leader="none"/>
        </w:tabs>
        <w:spacing w:line="360" w:lineRule="auto" w:before="1" w:after="0"/>
        <w:ind w:left="1184" w:right="139" w:hanging="360"/>
        <w:jc w:val="both"/>
        <w:rPr>
          <w:sz w:val="24"/>
        </w:rPr>
      </w:pPr>
      <w:r>
        <w:rPr>
          <w:b/>
          <w:sz w:val="24"/>
        </w:rPr>
        <w:t>EXPRESSES </w:t>
      </w:r>
      <w:r>
        <w:rPr>
          <w:sz w:val="24"/>
        </w:rPr>
        <w:t>its satisfaction for the efforts deployed by the two Secretaries General of the OAU and of the League of Arab States for the execution of the resolutions and declaration of the Joint Summit and congratulates them on these efforts;</w:t>
      </w:r>
    </w:p>
    <w:p>
      <w:pPr>
        <w:spacing w:after="0" w:line="360" w:lineRule="auto"/>
        <w:jc w:val="both"/>
        <w:rPr>
          <w:sz w:val="24"/>
        </w:rPr>
        <w:sectPr>
          <w:headerReference w:type="default" r:id="rId5"/>
          <w:type w:val="continuous"/>
          <w:pgSz w:w="12240" w:h="15840"/>
          <w:pgMar w:header="727" w:footer="0" w:top="980" w:bottom="280" w:left="1340" w:right="1340"/>
          <w:pgNumType w:start="1"/>
        </w:sectPr>
      </w:pPr>
    </w:p>
    <w:p>
      <w:pPr>
        <w:pStyle w:val="BodyText"/>
        <w:spacing w:before="3"/>
        <w:rPr>
          <w:sz w:val="28"/>
        </w:rPr>
      </w:pPr>
    </w:p>
    <w:p>
      <w:pPr>
        <w:pStyle w:val="ListParagraph"/>
        <w:numPr>
          <w:ilvl w:val="0"/>
          <w:numId w:val="1"/>
        </w:numPr>
        <w:tabs>
          <w:tab w:pos="1185" w:val="left" w:leader="none"/>
        </w:tabs>
        <w:spacing w:line="360" w:lineRule="auto" w:before="90" w:after="0"/>
        <w:ind w:left="1184" w:right="125" w:hanging="360"/>
        <w:jc w:val="both"/>
        <w:rPr>
          <w:sz w:val="24"/>
        </w:rPr>
      </w:pPr>
      <w:r>
        <w:rPr>
          <w:b/>
          <w:sz w:val="24"/>
        </w:rPr>
        <w:t>CALLS UPON </w:t>
      </w:r>
      <w:r>
        <w:rPr>
          <w:sz w:val="24"/>
        </w:rPr>
        <w:t>all Member States to forward to the OAU General Secretariat their proposals and advice concerning the strengthening of Afro-Arab Co-operation;</w:t>
      </w:r>
    </w:p>
    <w:p>
      <w:pPr>
        <w:pStyle w:val="BodyText"/>
        <w:spacing w:before="8"/>
        <w:rPr>
          <w:sz w:val="35"/>
        </w:rPr>
      </w:pPr>
    </w:p>
    <w:p>
      <w:pPr>
        <w:pStyle w:val="ListParagraph"/>
        <w:numPr>
          <w:ilvl w:val="0"/>
          <w:numId w:val="1"/>
        </w:numPr>
        <w:tabs>
          <w:tab w:pos="1185" w:val="left" w:leader="none"/>
        </w:tabs>
        <w:spacing w:line="360" w:lineRule="auto" w:before="0" w:after="0"/>
        <w:ind w:left="1184" w:right="103" w:hanging="360"/>
        <w:jc w:val="both"/>
        <w:rPr>
          <w:sz w:val="24"/>
        </w:rPr>
      </w:pPr>
      <w:r>
        <w:rPr>
          <w:b/>
          <w:sz w:val="24"/>
        </w:rPr>
        <w:t>REQUESTS </w:t>
      </w:r>
      <w:r>
        <w:rPr>
          <w:sz w:val="24"/>
        </w:rPr>
        <w:t>the Administrative Secretary General to follow up closely the recent developments of Afro-Arab Co-operation through contacts with the various institutions concerned and OAU Member States, and to keep the council regularly </w:t>
      </w:r>
      <w:r>
        <w:rPr>
          <w:spacing w:val="-2"/>
          <w:sz w:val="24"/>
        </w:rPr>
        <w:t>informed.</w:t>
      </w:r>
    </w:p>
    <w:sectPr>
      <w:pgSz w:w="12240" w:h="15840"/>
      <w:pgMar w:header="727" w:footer="0" w:top="9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8.200012pt;margin-top:35.346642pt;width:102.95pt;height:15.3pt;mso-position-horizontal-relative:page;mso-position-vertical-relative:page;z-index:-15759360" type="#_x0000_t202" id="docshape1" filled="false" stroked="false">
          <v:textbox inset="0,0,0,0">
            <w:txbxContent>
              <w:p>
                <w:pPr>
                  <w:pStyle w:val="BodyText"/>
                  <w:spacing w:before="10"/>
                  <w:ind w:left="20"/>
                </w:pPr>
                <w:r>
                  <w:rPr/>
                  <w:t>CM/Res.</w:t>
                </w:r>
                <w:r>
                  <w:rPr>
                    <w:spacing w:val="-4"/>
                  </w:rPr>
                  <w:t> </w:t>
                </w:r>
                <w:r>
                  <w:rPr/>
                  <w:t>595</w:t>
                </w:r>
                <w:r>
                  <w:rPr>
                    <w:spacing w:val="-5"/>
                  </w:rPr>
                  <w:t> </w:t>
                </w:r>
                <w:r>
                  <w:rPr>
                    <w:spacing w:val="-4"/>
                  </w:rPr>
                  <w:t>(XXX)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18" w:hanging="361"/>
      </w:pPr>
      <w:rPr>
        <w:rFonts w:hint="default"/>
        <w:lang w:val="en-US" w:eastAsia="en-US" w:bidi="ar-SA"/>
      </w:rPr>
    </w:lvl>
    <w:lvl w:ilvl="2">
      <w:start w:val="0"/>
      <w:numFmt w:val="bullet"/>
      <w:lvlText w:val="•"/>
      <w:lvlJc w:val="left"/>
      <w:pPr>
        <w:ind w:left="2856" w:hanging="361"/>
      </w:pPr>
      <w:rPr>
        <w:rFonts w:hint="default"/>
        <w:lang w:val="en-US" w:eastAsia="en-US" w:bidi="ar-SA"/>
      </w:rPr>
    </w:lvl>
    <w:lvl w:ilvl="3">
      <w:start w:val="0"/>
      <w:numFmt w:val="bullet"/>
      <w:lvlText w:val="•"/>
      <w:lvlJc w:val="left"/>
      <w:pPr>
        <w:ind w:left="3694" w:hanging="361"/>
      </w:pPr>
      <w:rPr>
        <w:rFonts w:hint="default"/>
        <w:lang w:val="en-US" w:eastAsia="en-US" w:bidi="ar-SA"/>
      </w:rPr>
    </w:lvl>
    <w:lvl w:ilvl="4">
      <w:start w:val="0"/>
      <w:numFmt w:val="bullet"/>
      <w:lvlText w:val="•"/>
      <w:lvlJc w:val="left"/>
      <w:pPr>
        <w:ind w:left="4532" w:hanging="361"/>
      </w:pPr>
      <w:rPr>
        <w:rFonts w:hint="default"/>
        <w:lang w:val="en-US" w:eastAsia="en-US" w:bidi="ar-SA"/>
      </w:rPr>
    </w:lvl>
    <w:lvl w:ilvl="5">
      <w:start w:val="0"/>
      <w:numFmt w:val="bullet"/>
      <w:lvlText w:val="•"/>
      <w:lvlJc w:val="left"/>
      <w:pPr>
        <w:ind w:left="5370" w:hanging="361"/>
      </w:pPr>
      <w:rPr>
        <w:rFonts w:hint="default"/>
        <w:lang w:val="en-US" w:eastAsia="en-US" w:bidi="ar-SA"/>
      </w:rPr>
    </w:lvl>
    <w:lvl w:ilvl="6">
      <w:start w:val="0"/>
      <w:numFmt w:val="bullet"/>
      <w:lvlText w:val="•"/>
      <w:lvlJc w:val="left"/>
      <w:pPr>
        <w:ind w:left="6208" w:hanging="361"/>
      </w:pPr>
      <w:rPr>
        <w:rFonts w:hint="default"/>
        <w:lang w:val="en-US" w:eastAsia="en-US" w:bidi="ar-SA"/>
      </w:rPr>
    </w:lvl>
    <w:lvl w:ilvl="7">
      <w:start w:val="0"/>
      <w:numFmt w:val="bullet"/>
      <w:lvlText w:val="•"/>
      <w:lvlJc w:val="left"/>
      <w:pPr>
        <w:ind w:left="7046" w:hanging="361"/>
      </w:pPr>
      <w:rPr>
        <w:rFonts w:hint="default"/>
        <w:lang w:val="en-US" w:eastAsia="en-US" w:bidi="ar-SA"/>
      </w:rPr>
    </w:lvl>
    <w:lvl w:ilvl="8">
      <w:start w:val="0"/>
      <w:numFmt w:val="bullet"/>
      <w:lvlText w:val="•"/>
      <w:lvlJc w:val="left"/>
      <w:pPr>
        <w:ind w:left="788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176" w:right="1169"/>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9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2023-06-07T08:54:32Z</dcterms:created>
  <dcterms:modified xsi:type="dcterms:W3CDTF">2023-06-07T08:54:32Z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