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8"/>
        </w:rPr>
      </w:pPr>
    </w:p>
    <w:p>
      <w:pPr>
        <w:pStyle w:val="Title"/>
        <w:rPr>
          <w:u w:val="none"/>
        </w:rPr>
      </w:pPr>
      <w:r>
        <w:rPr>
          <w:u w:val="single"/>
        </w:rPr>
        <w:t>RESOLUTION</w:t>
      </w:r>
      <w:r>
        <w:rPr>
          <w:spacing w:val="-10"/>
          <w:u w:val="single"/>
        </w:rPr>
        <w:t> </w:t>
      </w:r>
      <w:r>
        <w:rPr>
          <w:u w:val="single"/>
        </w:rPr>
        <w:t>ON</w:t>
      </w:r>
      <w:r>
        <w:rPr>
          <w:spacing w:val="-10"/>
          <w:u w:val="single"/>
        </w:rPr>
        <w:t> </w:t>
      </w:r>
      <w:r>
        <w:rPr>
          <w:u w:val="single"/>
        </w:rPr>
        <w:t>THE</w:t>
      </w:r>
      <w:r>
        <w:rPr>
          <w:spacing w:val="-10"/>
          <w:u w:val="single"/>
        </w:rPr>
        <w:t> </w:t>
      </w:r>
      <w:r>
        <w:rPr>
          <w:u w:val="single"/>
        </w:rPr>
        <w:t>PALESTINIAN</w:t>
      </w:r>
      <w:r>
        <w:rPr>
          <w:spacing w:val="-10"/>
          <w:u w:val="single"/>
        </w:rPr>
        <w:t> </w:t>
      </w:r>
      <w:r>
        <w:rPr>
          <w:spacing w:val="-4"/>
          <w:u w:val="single"/>
        </w:rPr>
        <w:t>ISSUE</w:t>
      </w:r>
    </w:p>
    <w:p>
      <w:pPr>
        <w:pStyle w:val="BodyText"/>
        <w:rPr>
          <w:b/>
          <w:sz w:val="20"/>
        </w:rPr>
      </w:pPr>
    </w:p>
    <w:p>
      <w:pPr>
        <w:pStyle w:val="BodyText"/>
        <w:spacing w:before="6"/>
        <w:rPr>
          <w:b/>
          <w:sz w:val="19"/>
        </w:rPr>
      </w:pPr>
    </w:p>
    <w:p>
      <w:pPr>
        <w:pStyle w:val="BodyText"/>
        <w:spacing w:line="360" w:lineRule="auto" w:before="90"/>
        <w:ind w:left="104" w:right="134" w:firstLine="720"/>
        <w:jc w:val="both"/>
      </w:pPr>
      <w:r>
        <w:rPr/>
        <w:t>The Council of Ministers of the Organization of African Unity meeting in its Thirtieth Ordinary Session in Tripoli, Libya from 20 to 28 February, 1978,</w:t>
      </w:r>
    </w:p>
    <w:p>
      <w:pPr>
        <w:pStyle w:val="BodyText"/>
        <w:spacing w:before="1"/>
        <w:rPr>
          <w:sz w:val="36"/>
        </w:rPr>
      </w:pPr>
    </w:p>
    <w:p>
      <w:pPr>
        <w:pStyle w:val="BodyText"/>
        <w:spacing w:line="360" w:lineRule="auto"/>
        <w:ind w:left="104" w:right="128" w:firstLine="720"/>
        <w:jc w:val="both"/>
      </w:pPr>
      <w:r>
        <w:rPr>
          <w:b/>
          <w:u w:val="single"/>
        </w:rPr>
        <w:t>Recalling</w:t>
      </w:r>
      <w:r>
        <w:rPr>
          <w:b/>
        </w:rPr>
        <w:t> </w:t>
      </w:r>
      <w:r>
        <w:rPr/>
        <w:t>the resolutions adopted at the previous sessions of the conference of the Assembly of Heads of State and Government and the Council of Ministers in respects of the Palestinian issue and in particular resolution 77 adopted by the Assembly of Heads of State and Government (XII) as well as the Council of Ministers resolutions CM/460 (XXVI) 482 (XXVII) and 529 (XXVIII);</w:t>
      </w:r>
    </w:p>
    <w:p>
      <w:pPr>
        <w:pStyle w:val="BodyText"/>
        <w:spacing w:before="10"/>
        <w:rPr>
          <w:sz w:val="35"/>
        </w:rPr>
      </w:pPr>
    </w:p>
    <w:p>
      <w:pPr>
        <w:pStyle w:val="BodyText"/>
        <w:spacing w:line="360" w:lineRule="auto"/>
        <w:ind w:left="104" w:right="115" w:firstLine="720"/>
        <w:jc w:val="both"/>
      </w:pPr>
      <w:r>
        <w:rPr>
          <w:b/>
          <w:u w:val="single"/>
        </w:rPr>
        <w:t>Recalling</w:t>
      </w:r>
      <w:r>
        <w:rPr>
          <w:b/>
        </w:rPr>
        <w:t> </w:t>
      </w:r>
      <w:r>
        <w:rPr/>
        <w:t>also the report of the United Nations Committee on the Exercise of the inalienable rights of the Palestinian People which confirms a new legitimate and inalienable rights of the Palestinian people to its national home-land in Palestine and their right to establish their independent sovereign State;</w:t>
      </w:r>
    </w:p>
    <w:p>
      <w:pPr>
        <w:pStyle w:val="BodyText"/>
        <w:spacing w:before="3"/>
        <w:rPr>
          <w:sz w:val="36"/>
        </w:rPr>
      </w:pPr>
    </w:p>
    <w:p>
      <w:pPr>
        <w:pStyle w:val="BodyText"/>
        <w:spacing w:line="360" w:lineRule="auto" w:before="1"/>
        <w:ind w:left="104" w:right="120" w:firstLine="720"/>
        <w:jc w:val="both"/>
      </w:pPr>
      <w:r>
        <w:rPr>
          <w:b/>
          <w:u w:val="single"/>
        </w:rPr>
        <w:t>Inspired</w:t>
      </w:r>
      <w:r>
        <w:rPr>
          <w:b/>
          <w:spacing w:val="-1"/>
        </w:rPr>
        <w:t> </w:t>
      </w:r>
      <w:r>
        <w:rPr/>
        <w:t>by</w:t>
      </w:r>
      <w:r>
        <w:rPr>
          <w:spacing w:val="-2"/>
        </w:rPr>
        <w:t> </w:t>
      </w:r>
      <w:r>
        <w:rPr/>
        <w:t>the</w:t>
      </w:r>
      <w:r>
        <w:rPr>
          <w:spacing w:val="-3"/>
        </w:rPr>
        <w:t> </w:t>
      </w:r>
      <w:r>
        <w:rPr/>
        <w:t>principles</w:t>
      </w:r>
      <w:r>
        <w:rPr>
          <w:spacing w:val="-3"/>
        </w:rPr>
        <w:t> </w:t>
      </w:r>
      <w:r>
        <w:rPr/>
        <w:t>and</w:t>
      </w:r>
      <w:r>
        <w:rPr>
          <w:spacing w:val="-2"/>
        </w:rPr>
        <w:t> </w:t>
      </w:r>
      <w:r>
        <w:rPr/>
        <w:t>objectives</w:t>
      </w:r>
      <w:r>
        <w:rPr>
          <w:spacing w:val="-2"/>
        </w:rPr>
        <w:t> </w:t>
      </w:r>
      <w:r>
        <w:rPr/>
        <w:t>of</w:t>
      </w:r>
      <w:r>
        <w:rPr>
          <w:spacing w:val="-2"/>
        </w:rPr>
        <w:t> </w:t>
      </w:r>
      <w:r>
        <w:rPr/>
        <w:t>the</w:t>
      </w:r>
      <w:r>
        <w:rPr>
          <w:spacing w:val="-3"/>
        </w:rPr>
        <w:t> </w:t>
      </w:r>
      <w:r>
        <w:rPr/>
        <w:t>OAU</w:t>
      </w:r>
      <w:r>
        <w:rPr>
          <w:spacing w:val="-3"/>
        </w:rPr>
        <w:t> </w:t>
      </w:r>
      <w:r>
        <w:rPr/>
        <w:t>and</w:t>
      </w:r>
      <w:r>
        <w:rPr>
          <w:spacing w:val="-3"/>
        </w:rPr>
        <w:t> </w:t>
      </w:r>
      <w:r>
        <w:rPr/>
        <w:t>United</w:t>
      </w:r>
      <w:r>
        <w:rPr>
          <w:spacing w:val="-3"/>
        </w:rPr>
        <w:t> </w:t>
      </w:r>
      <w:r>
        <w:rPr/>
        <w:t>Nations</w:t>
      </w:r>
      <w:r>
        <w:rPr>
          <w:spacing w:val="-3"/>
        </w:rPr>
        <w:t> </w:t>
      </w:r>
      <w:r>
        <w:rPr/>
        <w:t>Charted, and</w:t>
      </w:r>
      <w:r>
        <w:rPr>
          <w:spacing w:val="-3"/>
        </w:rPr>
        <w:t> </w:t>
      </w:r>
      <w:r>
        <w:rPr/>
        <w:t>in keeping with the common Destiny of African and Arab Peoples and their joint and continuous struggle to exercise their rights for the sake of freedom, peace, self-determination and </w:t>
      </w:r>
      <w:r>
        <w:rPr>
          <w:spacing w:val="-2"/>
        </w:rPr>
        <w:t>independence,</w:t>
      </w:r>
    </w:p>
    <w:p>
      <w:pPr>
        <w:pStyle w:val="BodyText"/>
        <w:spacing w:before="10"/>
        <w:rPr>
          <w:sz w:val="35"/>
        </w:rPr>
      </w:pPr>
    </w:p>
    <w:p>
      <w:pPr>
        <w:pStyle w:val="BodyText"/>
        <w:spacing w:line="360" w:lineRule="auto"/>
        <w:ind w:left="104" w:right="141" w:firstLine="720"/>
        <w:jc w:val="both"/>
      </w:pPr>
      <w:r>
        <w:rPr>
          <w:b/>
          <w:u w:val="single"/>
        </w:rPr>
        <w:t>Having noted</w:t>
      </w:r>
      <w:r>
        <w:rPr>
          <w:b/>
        </w:rPr>
        <w:t> </w:t>
      </w:r>
      <w:r>
        <w:rPr/>
        <w:t>the statements made on the developments of the Palestinian problem and the dangerous situation currently prevailing as a result of the continued Israeli occupation of Arab</w:t>
      </w:r>
      <w:r>
        <w:rPr>
          <w:spacing w:val="-4"/>
        </w:rPr>
        <w:t> </w:t>
      </w:r>
      <w:r>
        <w:rPr/>
        <w:t>territories</w:t>
      </w:r>
      <w:r>
        <w:rPr>
          <w:spacing w:val="-4"/>
        </w:rPr>
        <w:t> </w:t>
      </w:r>
      <w:r>
        <w:rPr/>
        <w:t>and</w:t>
      </w:r>
      <w:r>
        <w:rPr>
          <w:spacing w:val="-4"/>
        </w:rPr>
        <w:t> </w:t>
      </w:r>
      <w:r>
        <w:rPr/>
        <w:t>the</w:t>
      </w:r>
      <w:r>
        <w:rPr>
          <w:spacing w:val="-4"/>
        </w:rPr>
        <w:t> </w:t>
      </w:r>
      <w:r>
        <w:rPr/>
        <w:t>Israeli</w:t>
      </w:r>
      <w:r>
        <w:rPr>
          <w:spacing w:val="-4"/>
        </w:rPr>
        <w:t> </w:t>
      </w:r>
      <w:r>
        <w:rPr/>
        <w:t>usurpation</w:t>
      </w:r>
      <w:r>
        <w:rPr>
          <w:spacing w:val="-4"/>
        </w:rPr>
        <w:t> </w:t>
      </w:r>
      <w:r>
        <w:rPr/>
        <w:t>of</w:t>
      </w:r>
      <w:r>
        <w:rPr>
          <w:spacing w:val="-4"/>
        </w:rPr>
        <w:t> </w:t>
      </w:r>
      <w:r>
        <w:rPr/>
        <w:t>the</w:t>
      </w:r>
      <w:r>
        <w:rPr>
          <w:spacing w:val="-4"/>
        </w:rPr>
        <w:t> </w:t>
      </w:r>
      <w:r>
        <w:rPr/>
        <w:t>Palestinian</w:t>
      </w:r>
      <w:r>
        <w:rPr>
          <w:spacing w:val="-4"/>
        </w:rPr>
        <w:t> </w:t>
      </w:r>
      <w:r>
        <w:rPr/>
        <w:t>land,</w:t>
      </w:r>
      <w:r>
        <w:rPr>
          <w:spacing w:val="-2"/>
        </w:rPr>
        <w:t> </w:t>
      </w:r>
      <w:r>
        <w:rPr/>
        <w:t>in</w:t>
      </w:r>
      <w:r>
        <w:rPr>
          <w:spacing w:val="-4"/>
        </w:rPr>
        <w:t> </w:t>
      </w:r>
      <w:r>
        <w:rPr/>
        <w:t>addition</w:t>
      </w:r>
      <w:r>
        <w:rPr>
          <w:spacing w:val="-4"/>
        </w:rPr>
        <w:t> </w:t>
      </w:r>
      <w:r>
        <w:rPr/>
        <w:t>to</w:t>
      </w:r>
      <w:r>
        <w:rPr>
          <w:spacing w:val="-2"/>
        </w:rPr>
        <w:t> </w:t>
      </w:r>
      <w:r>
        <w:rPr/>
        <w:t>the</w:t>
      </w:r>
      <w:r>
        <w:rPr>
          <w:spacing w:val="-4"/>
        </w:rPr>
        <w:t> </w:t>
      </w:r>
      <w:r>
        <w:rPr/>
        <w:t>legitimate</w:t>
      </w:r>
      <w:r>
        <w:rPr>
          <w:spacing w:val="-4"/>
        </w:rPr>
        <w:t> </w:t>
      </w:r>
      <w:r>
        <w:rPr/>
        <w:t>and inalienable rights of the Palestinian people, as well as the refusal of Israel to abide by the United Nations General Assembly resolutions;</w:t>
      </w:r>
    </w:p>
    <w:p>
      <w:pPr>
        <w:pStyle w:val="BodyText"/>
        <w:spacing w:before="9"/>
        <w:rPr>
          <w:sz w:val="35"/>
        </w:rPr>
      </w:pPr>
    </w:p>
    <w:p>
      <w:pPr>
        <w:pStyle w:val="BodyText"/>
        <w:spacing w:line="360" w:lineRule="auto"/>
        <w:ind w:left="104" w:right="135" w:firstLine="720"/>
        <w:jc w:val="both"/>
      </w:pPr>
      <w:r>
        <w:rPr>
          <w:b/>
          <w:u w:val="single"/>
        </w:rPr>
        <w:t>Expressing</w:t>
      </w:r>
      <w:r>
        <w:rPr>
          <w:b/>
        </w:rPr>
        <w:t> </w:t>
      </w:r>
      <w:r>
        <w:rPr/>
        <w:t>its great concern over the reconfirmation of the aggressive designs and expansionist policy that were and are being repeatedly expressed by all the past Israeli Governments as well as the new Israeli Government, particularly as regards their evil and expansionist designs and their refusal to recognize the fundamental rights of the Palestinian people and their rights to national sovereignty over their territory;</w:t>
      </w:r>
    </w:p>
    <w:p>
      <w:pPr>
        <w:spacing w:after="0" w:line="360" w:lineRule="auto"/>
        <w:jc w:val="both"/>
        <w:sectPr>
          <w:headerReference w:type="default" r:id="rId5"/>
          <w:type w:val="continuous"/>
          <w:pgSz w:w="12240" w:h="15840"/>
          <w:pgMar w:header="727" w:footer="0" w:top="980" w:bottom="280" w:left="1340" w:right="1320"/>
          <w:pgNumType w:start="1"/>
        </w:sectPr>
      </w:pPr>
    </w:p>
    <w:p>
      <w:pPr>
        <w:pStyle w:val="BodyText"/>
        <w:spacing w:before="3"/>
        <w:rPr>
          <w:sz w:val="28"/>
        </w:rPr>
      </w:pPr>
    </w:p>
    <w:p>
      <w:pPr>
        <w:pStyle w:val="BodyText"/>
        <w:spacing w:line="360" w:lineRule="auto" w:before="90"/>
        <w:ind w:left="104" w:right="162" w:firstLine="719"/>
        <w:jc w:val="both"/>
      </w:pPr>
      <w:r>
        <w:rPr>
          <w:b/>
          <w:u w:val="single"/>
        </w:rPr>
        <w:t>Aware</w:t>
      </w:r>
      <w:r>
        <w:rPr>
          <w:b/>
          <w:spacing w:val="-4"/>
        </w:rPr>
        <w:t> </w:t>
      </w:r>
      <w:r>
        <w:rPr/>
        <w:t>that</w:t>
      </w:r>
      <w:r>
        <w:rPr>
          <w:spacing w:val="-3"/>
        </w:rPr>
        <w:t> </w:t>
      </w:r>
      <w:r>
        <w:rPr/>
        <w:t>the</w:t>
      </w:r>
      <w:r>
        <w:rPr>
          <w:spacing w:val="-6"/>
        </w:rPr>
        <w:t> </w:t>
      </w:r>
      <w:r>
        <w:rPr/>
        <w:t>Palestinian</w:t>
      </w:r>
      <w:r>
        <w:rPr>
          <w:spacing w:val="-6"/>
        </w:rPr>
        <w:t> </w:t>
      </w:r>
      <w:r>
        <w:rPr/>
        <w:t>problem</w:t>
      </w:r>
      <w:r>
        <w:rPr>
          <w:spacing w:val="-6"/>
        </w:rPr>
        <w:t> </w:t>
      </w:r>
      <w:r>
        <w:rPr/>
        <w:t>constitutes</w:t>
      </w:r>
      <w:r>
        <w:rPr>
          <w:spacing w:val="-6"/>
        </w:rPr>
        <w:t> </w:t>
      </w:r>
      <w:r>
        <w:rPr/>
        <w:t>the</w:t>
      </w:r>
      <w:r>
        <w:rPr>
          <w:spacing w:val="-6"/>
        </w:rPr>
        <w:t> </w:t>
      </w:r>
      <w:r>
        <w:rPr/>
        <w:t>core</w:t>
      </w:r>
      <w:r>
        <w:rPr>
          <w:spacing w:val="-6"/>
        </w:rPr>
        <w:t> </w:t>
      </w:r>
      <w:r>
        <w:rPr/>
        <w:t>of</w:t>
      </w:r>
      <w:r>
        <w:rPr>
          <w:spacing w:val="-6"/>
        </w:rPr>
        <w:t> </w:t>
      </w:r>
      <w:r>
        <w:rPr/>
        <w:t>the</w:t>
      </w:r>
      <w:r>
        <w:rPr>
          <w:spacing w:val="-6"/>
        </w:rPr>
        <w:t> </w:t>
      </w:r>
      <w:r>
        <w:rPr/>
        <w:t>struggle</w:t>
      </w:r>
      <w:r>
        <w:rPr>
          <w:spacing w:val="-6"/>
        </w:rPr>
        <w:t> </w:t>
      </w:r>
      <w:r>
        <w:rPr/>
        <w:t>of</w:t>
      </w:r>
      <w:r>
        <w:rPr>
          <w:spacing w:val="-6"/>
        </w:rPr>
        <w:t> </w:t>
      </w:r>
      <w:r>
        <w:rPr/>
        <w:t>the</w:t>
      </w:r>
      <w:r>
        <w:rPr>
          <w:spacing w:val="-6"/>
        </w:rPr>
        <w:t> </w:t>
      </w:r>
      <w:r>
        <w:rPr/>
        <w:t>Middle</w:t>
      </w:r>
      <w:r>
        <w:rPr>
          <w:spacing w:val="-6"/>
        </w:rPr>
        <w:t> </w:t>
      </w:r>
      <w:r>
        <w:rPr/>
        <w:t>East Problem and that it is an Afro-Arab cause,</w:t>
      </w:r>
    </w:p>
    <w:p>
      <w:pPr>
        <w:pStyle w:val="BodyText"/>
        <w:spacing w:before="8"/>
        <w:rPr>
          <w:sz w:val="35"/>
        </w:rPr>
      </w:pPr>
    </w:p>
    <w:p>
      <w:pPr>
        <w:pStyle w:val="BodyText"/>
        <w:spacing w:line="362" w:lineRule="auto"/>
        <w:ind w:left="104" w:right="152" w:firstLine="720"/>
        <w:jc w:val="both"/>
      </w:pPr>
      <w:r>
        <w:rPr>
          <w:b/>
          <w:u w:val="single"/>
        </w:rPr>
        <w:t>Reaffirming</w:t>
      </w:r>
      <w:r>
        <w:rPr>
          <w:b/>
        </w:rPr>
        <w:t> </w:t>
      </w:r>
      <w:r>
        <w:rPr/>
        <w:t>the</w:t>
      </w:r>
      <w:r>
        <w:rPr>
          <w:spacing w:val="-2"/>
        </w:rPr>
        <w:t> </w:t>
      </w:r>
      <w:r>
        <w:rPr/>
        <w:t>legitimacy</w:t>
      </w:r>
      <w:r>
        <w:rPr>
          <w:spacing w:val="-1"/>
        </w:rPr>
        <w:t> </w:t>
      </w:r>
      <w:r>
        <w:rPr/>
        <w:t>of</w:t>
      </w:r>
      <w:r>
        <w:rPr>
          <w:spacing w:val="-1"/>
        </w:rPr>
        <w:t> </w:t>
      </w:r>
      <w:r>
        <w:rPr/>
        <w:t>the</w:t>
      </w:r>
      <w:r>
        <w:rPr>
          <w:spacing w:val="-2"/>
        </w:rPr>
        <w:t> </w:t>
      </w:r>
      <w:r>
        <w:rPr/>
        <w:t>struggle</w:t>
      </w:r>
      <w:r>
        <w:rPr>
          <w:spacing w:val="-1"/>
        </w:rPr>
        <w:t> </w:t>
      </w:r>
      <w:r>
        <w:rPr/>
        <w:t>that is</w:t>
      </w:r>
      <w:r>
        <w:rPr>
          <w:spacing w:val="-2"/>
        </w:rPr>
        <w:t> </w:t>
      </w:r>
      <w:r>
        <w:rPr/>
        <w:t>being</w:t>
      </w:r>
      <w:r>
        <w:rPr>
          <w:spacing w:val="-2"/>
        </w:rPr>
        <w:t> </w:t>
      </w:r>
      <w:r>
        <w:rPr/>
        <w:t>waged</w:t>
      </w:r>
      <w:r>
        <w:rPr>
          <w:spacing w:val="-2"/>
        </w:rPr>
        <w:t> </w:t>
      </w:r>
      <w:r>
        <w:rPr/>
        <w:t>by</w:t>
      </w:r>
      <w:r>
        <w:rPr>
          <w:spacing w:val="-1"/>
        </w:rPr>
        <w:t> </w:t>
      </w:r>
      <w:r>
        <w:rPr/>
        <w:t>the</w:t>
      </w:r>
      <w:r>
        <w:rPr>
          <w:spacing w:val="-2"/>
        </w:rPr>
        <w:t> </w:t>
      </w:r>
      <w:r>
        <w:rPr/>
        <w:t>Palestinian</w:t>
      </w:r>
      <w:r>
        <w:rPr>
          <w:spacing w:val="-2"/>
        </w:rPr>
        <w:t> </w:t>
      </w:r>
      <w:r>
        <w:rPr/>
        <w:t>people, under the leadership of the PLO, with a view to restoring all their national rights;</w:t>
      </w:r>
    </w:p>
    <w:p>
      <w:pPr>
        <w:pStyle w:val="BodyText"/>
        <w:spacing w:before="7"/>
        <w:rPr>
          <w:sz w:val="35"/>
        </w:rPr>
      </w:pPr>
    </w:p>
    <w:p>
      <w:pPr>
        <w:pStyle w:val="BodyText"/>
        <w:spacing w:line="360" w:lineRule="auto"/>
        <w:ind w:left="104" w:right="123" w:firstLine="720"/>
        <w:jc w:val="both"/>
      </w:pPr>
      <w:r>
        <w:rPr>
          <w:b/>
          <w:u w:val="single"/>
        </w:rPr>
        <w:t>Reaffirming</w:t>
      </w:r>
      <w:r>
        <w:rPr>
          <w:b/>
        </w:rPr>
        <w:t> </w:t>
      </w:r>
      <w:r>
        <w:rPr/>
        <w:t>also that a just and permanent peace can only be achieved on the basis of Israeli withdrawal from all the occupied Arab territories and the recognition of the legitimate rights of the Palestinian people to return to their homeland, as well as their rights to sovereignty, national independence self-determination, in addition to their right to establish an independent State on their national soil;</w:t>
      </w:r>
    </w:p>
    <w:p>
      <w:pPr>
        <w:pStyle w:val="BodyText"/>
        <w:spacing w:before="3"/>
        <w:rPr>
          <w:sz w:val="36"/>
        </w:rPr>
      </w:pPr>
    </w:p>
    <w:p>
      <w:pPr>
        <w:pStyle w:val="BodyText"/>
        <w:spacing w:line="360" w:lineRule="auto"/>
        <w:ind w:left="104" w:right="129" w:firstLine="720"/>
        <w:jc w:val="both"/>
      </w:pPr>
      <w:r>
        <w:rPr>
          <w:b/>
          <w:u w:val="single"/>
        </w:rPr>
        <w:t>Noting</w:t>
      </w:r>
      <w:r>
        <w:rPr>
          <w:b/>
        </w:rPr>
        <w:t> </w:t>
      </w:r>
      <w:r>
        <w:rPr/>
        <w:t>with concern that the alliance between Israeli and the racist regimes in Rhodesia and South Africa aim at perpetuating the policy of terrorism and genocide of Palestinians and Arabs in the occupied Arab territories, and of African peoples in South Africa, Namibia and Zimbabwe, and that Israel and the racist regimes are carrying out similar manoeuvres and adopting similar methods;</w:t>
      </w:r>
    </w:p>
    <w:p>
      <w:pPr>
        <w:pStyle w:val="BodyText"/>
        <w:spacing w:before="9"/>
        <w:rPr>
          <w:sz w:val="35"/>
        </w:rPr>
      </w:pPr>
    </w:p>
    <w:p>
      <w:pPr>
        <w:pStyle w:val="ListParagraph"/>
        <w:numPr>
          <w:ilvl w:val="0"/>
          <w:numId w:val="1"/>
        </w:numPr>
        <w:tabs>
          <w:tab w:pos="1185" w:val="left" w:leader="none"/>
        </w:tabs>
        <w:spacing w:line="360" w:lineRule="auto" w:before="0" w:after="0"/>
        <w:ind w:left="1184" w:right="136" w:hanging="360"/>
        <w:jc w:val="both"/>
        <w:rPr>
          <w:sz w:val="24"/>
        </w:rPr>
      </w:pPr>
      <w:r>
        <w:rPr>
          <w:b/>
          <w:sz w:val="24"/>
        </w:rPr>
        <w:t>REAFFIRMS </w:t>
      </w:r>
      <w:r>
        <w:rPr>
          <w:sz w:val="24"/>
        </w:rPr>
        <w:t>all the previous resolutions adopted by the Council as a reiteration of its full and effective assistance to the Palestinian People led by the PLO which is the sole legitimate representative of the Palestinian people;</w:t>
      </w:r>
    </w:p>
    <w:p>
      <w:pPr>
        <w:pStyle w:val="BodyText"/>
        <w:rPr>
          <w:sz w:val="36"/>
        </w:rPr>
      </w:pPr>
    </w:p>
    <w:p>
      <w:pPr>
        <w:pStyle w:val="ListParagraph"/>
        <w:numPr>
          <w:ilvl w:val="0"/>
          <w:numId w:val="1"/>
        </w:numPr>
        <w:tabs>
          <w:tab w:pos="1185" w:val="left" w:leader="none"/>
        </w:tabs>
        <w:spacing w:line="360" w:lineRule="auto" w:before="0" w:after="0"/>
        <w:ind w:left="1184" w:right="127" w:hanging="360"/>
        <w:jc w:val="both"/>
        <w:rPr>
          <w:sz w:val="24"/>
        </w:rPr>
      </w:pPr>
      <w:r>
        <w:rPr>
          <w:b/>
          <w:sz w:val="24"/>
        </w:rPr>
        <w:t>REAFFIRMS </w:t>
      </w:r>
      <w:r>
        <w:rPr>
          <w:sz w:val="24"/>
        </w:rPr>
        <w:t>its total support </w:t>
      </w:r>
      <w:r>
        <w:rPr>
          <w:spacing w:val="9"/>
          <w:sz w:val="24"/>
        </w:rPr>
        <w:t>to</w:t>
      </w:r>
      <w:r>
        <w:rPr>
          <w:spacing w:val="9"/>
          <w:sz w:val="24"/>
        </w:rPr>
        <w:t> </w:t>
      </w:r>
      <w:r>
        <w:rPr>
          <w:sz w:val="24"/>
        </w:rPr>
        <w:t>the Arab Front-line States and to the Palestinian people</w:t>
      </w:r>
      <w:r>
        <w:rPr>
          <w:spacing w:val="-3"/>
          <w:sz w:val="24"/>
        </w:rPr>
        <w:t> </w:t>
      </w:r>
      <w:r>
        <w:rPr>
          <w:sz w:val="24"/>
        </w:rPr>
        <w:t>in</w:t>
      </w:r>
      <w:r>
        <w:rPr>
          <w:spacing w:val="-3"/>
          <w:sz w:val="24"/>
        </w:rPr>
        <w:t> </w:t>
      </w:r>
      <w:r>
        <w:rPr>
          <w:sz w:val="24"/>
        </w:rPr>
        <w:t>their</w:t>
      </w:r>
      <w:r>
        <w:rPr>
          <w:spacing w:val="-2"/>
          <w:sz w:val="24"/>
        </w:rPr>
        <w:t> </w:t>
      </w:r>
      <w:r>
        <w:rPr>
          <w:sz w:val="24"/>
        </w:rPr>
        <w:t>legitimate</w:t>
      </w:r>
      <w:r>
        <w:rPr>
          <w:spacing w:val="-3"/>
          <w:sz w:val="24"/>
        </w:rPr>
        <w:t> </w:t>
      </w:r>
      <w:r>
        <w:rPr>
          <w:sz w:val="24"/>
        </w:rPr>
        <w:t>struggle</w:t>
      </w:r>
      <w:r>
        <w:rPr>
          <w:spacing w:val="-3"/>
          <w:sz w:val="24"/>
        </w:rPr>
        <w:t> </w:t>
      </w:r>
      <w:r>
        <w:rPr>
          <w:sz w:val="24"/>
        </w:rPr>
        <w:t>to</w:t>
      </w:r>
      <w:r>
        <w:rPr>
          <w:spacing w:val="-1"/>
          <w:sz w:val="24"/>
        </w:rPr>
        <w:t> </w:t>
      </w:r>
      <w:r>
        <w:rPr>
          <w:sz w:val="24"/>
        </w:rPr>
        <w:t>recover</w:t>
      </w:r>
      <w:r>
        <w:rPr>
          <w:spacing w:val="-2"/>
          <w:sz w:val="24"/>
        </w:rPr>
        <w:t> </w:t>
      </w:r>
      <w:r>
        <w:rPr>
          <w:sz w:val="24"/>
        </w:rPr>
        <w:t>by</w:t>
      </w:r>
      <w:r>
        <w:rPr>
          <w:spacing w:val="-3"/>
          <w:sz w:val="24"/>
        </w:rPr>
        <w:t> </w:t>
      </w:r>
      <w:r>
        <w:rPr>
          <w:sz w:val="24"/>
        </w:rPr>
        <w:t>every</w:t>
      </w:r>
      <w:r>
        <w:rPr>
          <w:spacing w:val="-3"/>
          <w:sz w:val="24"/>
        </w:rPr>
        <w:t> </w:t>
      </w:r>
      <w:r>
        <w:rPr>
          <w:sz w:val="24"/>
        </w:rPr>
        <w:t>means</w:t>
      </w:r>
      <w:r>
        <w:rPr>
          <w:spacing w:val="-3"/>
          <w:sz w:val="24"/>
        </w:rPr>
        <w:t> </w:t>
      </w:r>
      <w:r>
        <w:rPr>
          <w:sz w:val="24"/>
        </w:rPr>
        <w:t>their</w:t>
      </w:r>
      <w:r>
        <w:rPr>
          <w:spacing w:val="-2"/>
          <w:sz w:val="24"/>
        </w:rPr>
        <w:t> </w:t>
      </w:r>
      <w:r>
        <w:rPr>
          <w:sz w:val="24"/>
        </w:rPr>
        <w:t>occupied</w:t>
      </w:r>
      <w:r>
        <w:rPr>
          <w:spacing w:val="-3"/>
          <w:sz w:val="24"/>
        </w:rPr>
        <w:t> </w:t>
      </w:r>
      <w:r>
        <w:rPr>
          <w:sz w:val="24"/>
        </w:rPr>
        <w:t>territories and usurped rights;</w:t>
      </w:r>
    </w:p>
    <w:p>
      <w:pPr>
        <w:pStyle w:val="BodyText"/>
        <w:rPr>
          <w:sz w:val="36"/>
        </w:rPr>
      </w:pPr>
    </w:p>
    <w:p>
      <w:pPr>
        <w:pStyle w:val="ListParagraph"/>
        <w:numPr>
          <w:ilvl w:val="0"/>
          <w:numId w:val="1"/>
        </w:numPr>
        <w:tabs>
          <w:tab w:pos="1185" w:val="left" w:leader="none"/>
        </w:tabs>
        <w:spacing w:line="360" w:lineRule="auto" w:before="0" w:after="0"/>
        <w:ind w:left="1184" w:right="131" w:hanging="361"/>
        <w:jc w:val="both"/>
        <w:rPr>
          <w:sz w:val="24"/>
        </w:rPr>
      </w:pPr>
      <w:r>
        <w:rPr>
          <w:b/>
          <w:sz w:val="24"/>
        </w:rPr>
        <w:t>DECLARES </w:t>
      </w:r>
      <w:r>
        <w:rPr>
          <w:sz w:val="24"/>
        </w:rPr>
        <w:t>its total support for the PLO as the sole lawful representative of the Palestinian people in their heroic struggle against Zionism and Racism, also declares that no State is entitled to speak in its name without the consent of the PLO;</w:t>
      </w:r>
    </w:p>
    <w:p>
      <w:pPr>
        <w:pStyle w:val="BodyText"/>
        <w:rPr>
          <w:sz w:val="36"/>
        </w:rPr>
      </w:pPr>
    </w:p>
    <w:p>
      <w:pPr>
        <w:pStyle w:val="ListParagraph"/>
        <w:numPr>
          <w:ilvl w:val="0"/>
          <w:numId w:val="1"/>
        </w:numPr>
        <w:tabs>
          <w:tab w:pos="1185" w:val="left" w:leader="none"/>
        </w:tabs>
        <w:spacing w:line="360" w:lineRule="auto" w:before="1" w:after="0"/>
        <w:ind w:left="1184" w:right="121" w:hanging="360"/>
        <w:jc w:val="both"/>
        <w:rPr>
          <w:sz w:val="24"/>
        </w:rPr>
      </w:pPr>
      <w:r>
        <w:rPr>
          <w:b/>
          <w:sz w:val="24"/>
        </w:rPr>
        <w:t>VIGOROUSLY CONDEMNS </w:t>
      </w:r>
      <w:r>
        <w:rPr>
          <w:sz w:val="24"/>
        </w:rPr>
        <w:t>Israeli aggressive designs and expansionist policy which</w:t>
      </w:r>
      <w:r>
        <w:rPr>
          <w:spacing w:val="-1"/>
          <w:sz w:val="24"/>
        </w:rPr>
        <w:t> </w:t>
      </w:r>
      <w:r>
        <w:rPr>
          <w:sz w:val="24"/>
        </w:rPr>
        <w:t>are</w:t>
      </w:r>
      <w:r>
        <w:rPr>
          <w:spacing w:val="-1"/>
          <w:sz w:val="24"/>
        </w:rPr>
        <w:t> </w:t>
      </w:r>
      <w:r>
        <w:rPr>
          <w:sz w:val="24"/>
        </w:rPr>
        <w:t>being</w:t>
      </w:r>
      <w:r>
        <w:rPr>
          <w:spacing w:val="-1"/>
          <w:sz w:val="24"/>
        </w:rPr>
        <w:t> </w:t>
      </w:r>
      <w:r>
        <w:rPr>
          <w:sz w:val="24"/>
        </w:rPr>
        <w:t>repeatedly</w:t>
      </w:r>
      <w:r>
        <w:rPr>
          <w:spacing w:val="-1"/>
          <w:sz w:val="24"/>
        </w:rPr>
        <w:t> </w:t>
      </w:r>
      <w:r>
        <w:rPr>
          <w:sz w:val="24"/>
        </w:rPr>
        <w:t>expressed</w:t>
      </w:r>
      <w:r>
        <w:rPr>
          <w:spacing w:val="-1"/>
          <w:sz w:val="24"/>
        </w:rPr>
        <w:t> </w:t>
      </w:r>
      <w:r>
        <w:rPr>
          <w:sz w:val="24"/>
        </w:rPr>
        <w:t>in</w:t>
      </w:r>
      <w:r>
        <w:rPr>
          <w:spacing w:val="-1"/>
          <w:sz w:val="24"/>
        </w:rPr>
        <w:t> </w:t>
      </w:r>
      <w:r>
        <w:rPr>
          <w:sz w:val="24"/>
        </w:rPr>
        <w:t>the</w:t>
      </w:r>
      <w:r>
        <w:rPr>
          <w:spacing w:val="-1"/>
          <w:sz w:val="24"/>
        </w:rPr>
        <w:t> </w:t>
      </w:r>
      <w:r>
        <w:rPr>
          <w:sz w:val="24"/>
        </w:rPr>
        <w:t>statement of</w:t>
      </w:r>
      <w:r>
        <w:rPr>
          <w:spacing w:val="-1"/>
          <w:sz w:val="24"/>
        </w:rPr>
        <w:t> </w:t>
      </w:r>
      <w:r>
        <w:rPr>
          <w:sz w:val="24"/>
        </w:rPr>
        <w:t>the</w:t>
      </w:r>
      <w:r>
        <w:rPr>
          <w:spacing w:val="-1"/>
          <w:sz w:val="24"/>
        </w:rPr>
        <w:t> </w:t>
      </w:r>
      <w:r>
        <w:rPr>
          <w:sz w:val="24"/>
        </w:rPr>
        <w:t>new</w:t>
      </w:r>
      <w:r>
        <w:rPr>
          <w:spacing w:val="-1"/>
          <w:sz w:val="24"/>
        </w:rPr>
        <w:t> </w:t>
      </w:r>
      <w:r>
        <w:rPr>
          <w:sz w:val="24"/>
        </w:rPr>
        <w:t>Israeli</w:t>
      </w:r>
      <w:r>
        <w:rPr>
          <w:spacing w:val="-1"/>
          <w:sz w:val="24"/>
        </w:rPr>
        <w:t> </w:t>
      </w:r>
      <w:r>
        <w:rPr>
          <w:sz w:val="24"/>
        </w:rPr>
        <w:t>Government;</w:t>
      </w:r>
    </w:p>
    <w:p>
      <w:pPr>
        <w:spacing w:after="0" w:line="360" w:lineRule="auto"/>
        <w:jc w:val="both"/>
        <w:rPr>
          <w:sz w:val="24"/>
        </w:rPr>
        <w:sectPr>
          <w:pgSz w:w="12240" w:h="15840"/>
          <w:pgMar w:header="727" w:footer="0" w:top="980" w:bottom="280" w:left="1340" w:right="1320"/>
        </w:sectPr>
      </w:pPr>
    </w:p>
    <w:p>
      <w:pPr>
        <w:pStyle w:val="ListParagraph"/>
        <w:numPr>
          <w:ilvl w:val="0"/>
          <w:numId w:val="1"/>
        </w:numPr>
        <w:tabs>
          <w:tab w:pos="1185" w:val="left" w:leader="none"/>
        </w:tabs>
        <w:spacing w:line="360" w:lineRule="auto" w:before="0" w:after="0"/>
        <w:ind w:left="1184" w:right="136" w:hanging="360"/>
        <w:jc w:val="both"/>
        <w:rPr>
          <w:sz w:val="24"/>
        </w:rPr>
      </w:pPr>
      <w:r>
        <w:rPr>
          <w:b/>
          <w:sz w:val="24"/>
        </w:rPr>
        <w:t>FIRMLY </w:t>
      </w:r>
      <w:r>
        <w:rPr>
          <w:sz w:val="24"/>
        </w:rPr>
        <w:t>condemns once again the alliance between Israeli and the racist regimes of South Africa and Rhodesia, and calls on all Member States to be vigilant as regards the</w:t>
      </w:r>
      <w:r>
        <w:rPr>
          <w:spacing w:val="-1"/>
          <w:sz w:val="24"/>
        </w:rPr>
        <w:t> </w:t>
      </w:r>
      <w:r>
        <w:rPr>
          <w:sz w:val="24"/>
        </w:rPr>
        <w:t>dangers</w:t>
      </w:r>
      <w:r>
        <w:rPr>
          <w:spacing w:val="-1"/>
          <w:sz w:val="24"/>
        </w:rPr>
        <w:t> </w:t>
      </w:r>
      <w:r>
        <w:rPr>
          <w:sz w:val="24"/>
        </w:rPr>
        <w:t>of</w:t>
      </w:r>
      <w:r>
        <w:rPr>
          <w:spacing w:val="-1"/>
          <w:sz w:val="24"/>
        </w:rPr>
        <w:t> </w:t>
      </w:r>
      <w:r>
        <w:rPr>
          <w:sz w:val="24"/>
        </w:rPr>
        <w:t>such</w:t>
      </w:r>
      <w:r>
        <w:rPr>
          <w:spacing w:val="-1"/>
          <w:sz w:val="24"/>
        </w:rPr>
        <w:t> </w:t>
      </w:r>
      <w:r>
        <w:rPr>
          <w:sz w:val="24"/>
        </w:rPr>
        <w:t>an</w:t>
      </w:r>
      <w:r>
        <w:rPr>
          <w:spacing w:val="-1"/>
          <w:sz w:val="24"/>
        </w:rPr>
        <w:t> </w:t>
      </w:r>
      <w:r>
        <w:rPr>
          <w:sz w:val="24"/>
        </w:rPr>
        <w:t>alliance, while</w:t>
      </w:r>
      <w:r>
        <w:rPr>
          <w:spacing w:val="-5"/>
          <w:sz w:val="24"/>
        </w:rPr>
        <w:t> </w:t>
      </w:r>
      <w:r>
        <w:rPr>
          <w:sz w:val="24"/>
        </w:rPr>
        <w:t>affirming</w:t>
      </w:r>
      <w:r>
        <w:rPr>
          <w:spacing w:val="-5"/>
          <w:sz w:val="24"/>
        </w:rPr>
        <w:t> </w:t>
      </w:r>
      <w:r>
        <w:rPr>
          <w:sz w:val="24"/>
        </w:rPr>
        <w:t>that</w:t>
      </w:r>
      <w:r>
        <w:rPr>
          <w:spacing w:val="-3"/>
          <w:sz w:val="24"/>
        </w:rPr>
        <w:t> </w:t>
      </w:r>
      <w:r>
        <w:rPr>
          <w:sz w:val="24"/>
        </w:rPr>
        <w:t>armed</w:t>
      </w:r>
      <w:r>
        <w:rPr>
          <w:spacing w:val="-5"/>
          <w:sz w:val="24"/>
        </w:rPr>
        <w:t> </w:t>
      </w:r>
      <w:r>
        <w:rPr>
          <w:sz w:val="24"/>
        </w:rPr>
        <w:t>struggle</w:t>
      </w:r>
      <w:r>
        <w:rPr>
          <w:spacing w:val="-5"/>
          <w:sz w:val="24"/>
        </w:rPr>
        <w:t> </w:t>
      </w:r>
      <w:r>
        <w:rPr>
          <w:sz w:val="24"/>
        </w:rPr>
        <w:t>against</w:t>
      </w:r>
      <w:r>
        <w:rPr>
          <w:spacing w:val="-3"/>
          <w:sz w:val="24"/>
        </w:rPr>
        <w:t> </w:t>
      </w:r>
      <w:r>
        <w:rPr>
          <w:sz w:val="24"/>
        </w:rPr>
        <w:t>the</w:t>
      </w:r>
      <w:r>
        <w:rPr>
          <w:spacing w:val="-5"/>
          <w:sz w:val="24"/>
        </w:rPr>
        <w:t> </w:t>
      </w:r>
      <w:r>
        <w:rPr>
          <w:sz w:val="24"/>
        </w:rPr>
        <w:t>racists in South Africa and occupied Palestine is the most effective means of crushing those </w:t>
      </w:r>
      <w:r>
        <w:rPr>
          <w:spacing w:val="-2"/>
          <w:sz w:val="24"/>
        </w:rPr>
        <w:t>enemies;</w:t>
      </w:r>
    </w:p>
    <w:p>
      <w:pPr>
        <w:pStyle w:val="BodyText"/>
        <w:rPr>
          <w:sz w:val="36"/>
        </w:rPr>
      </w:pPr>
    </w:p>
    <w:p>
      <w:pPr>
        <w:pStyle w:val="ListParagraph"/>
        <w:numPr>
          <w:ilvl w:val="0"/>
          <w:numId w:val="1"/>
        </w:numPr>
        <w:tabs>
          <w:tab w:pos="1185" w:val="left" w:leader="none"/>
        </w:tabs>
        <w:spacing w:line="360" w:lineRule="auto" w:before="0" w:after="0"/>
        <w:ind w:left="1184" w:right="136" w:hanging="360"/>
        <w:jc w:val="both"/>
        <w:rPr>
          <w:sz w:val="24"/>
        </w:rPr>
      </w:pPr>
      <w:r>
        <w:rPr>
          <w:b/>
          <w:sz w:val="24"/>
        </w:rPr>
        <w:t>DECLARES </w:t>
      </w:r>
      <w:r>
        <w:rPr>
          <w:sz w:val="24"/>
        </w:rPr>
        <w:t>that direct negotiations and consultations with the racist and zionist regimes</w:t>
      </w:r>
      <w:r>
        <w:rPr>
          <w:spacing w:val="-1"/>
          <w:sz w:val="24"/>
        </w:rPr>
        <w:t> </w:t>
      </w:r>
      <w:r>
        <w:rPr>
          <w:sz w:val="24"/>
        </w:rPr>
        <w:t>in</w:t>
      </w:r>
      <w:r>
        <w:rPr>
          <w:spacing w:val="-1"/>
          <w:sz w:val="24"/>
        </w:rPr>
        <w:t> </w:t>
      </w:r>
      <w:r>
        <w:rPr>
          <w:sz w:val="24"/>
        </w:rPr>
        <w:t>Southern</w:t>
      </w:r>
      <w:r>
        <w:rPr>
          <w:spacing w:val="-1"/>
          <w:sz w:val="24"/>
        </w:rPr>
        <w:t> </w:t>
      </w:r>
      <w:r>
        <w:rPr>
          <w:sz w:val="24"/>
        </w:rPr>
        <w:t>Africa</w:t>
      </w:r>
      <w:r>
        <w:rPr>
          <w:spacing w:val="-1"/>
          <w:sz w:val="24"/>
        </w:rPr>
        <w:t> </w:t>
      </w:r>
      <w:r>
        <w:rPr>
          <w:sz w:val="24"/>
        </w:rPr>
        <w:t>and</w:t>
      </w:r>
      <w:r>
        <w:rPr>
          <w:spacing w:val="-3"/>
          <w:sz w:val="24"/>
        </w:rPr>
        <w:t> </w:t>
      </w:r>
      <w:r>
        <w:rPr>
          <w:sz w:val="24"/>
        </w:rPr>
        <w:t>occupied</w:t>
      </w:r>
      <w:r>
        <w:rPr>
          <w:spacing w:val="-3"/>
          <w:sz w:val="24"/>
        </w:rPr>
        <w:t> </w:t>
      </w:r>
      <w:r>
        <w:rPr>
          <w:sz w:val="24"/>
        </w:rPr>
        <w:t>Palestine</w:t>
      </w:r>
      <w:r>
        <w:rPr>
          <w:spacing w:val="-3"/>
          <w:sz w:val="24"/>
        </w:rPr>
        <w:t> </w:t>
      </w:r>
      <w:r>
        <w:rPr>
          <w:sz w:val="24"/>
        </w:rPr>
        <w:t>should</w:t>
      </w:r>
      <w:r>
        <w:rPr>
          <w:spacing w:val="-3"/>
          <w:sz w:val="24"/>
        </w:rPr>
        <w:t> </w:t>
      </w:r>
      <w:r>
        <w:rPr>
          <w:sz w:val="24"/>
        </w:rPr>
        <w:t>not</w:t>
      </w:r>
      <w:r>
        <w:rPr>
          <w:spacing w:val="-1"/>
          <w:sz w:val="24"/>
        </w:rPr>
        <w:t> </w:t>
      </w:r>
      <w:r>
        <w:rPr>
          <w:sz w:val="24"/>
        </w:rPr>
        <w:t>serve</w:t>
      </w:r>
      <w:r>
        <w:rPr>
          <w:spacing w:val="-3"/>
          <w:sz w:val="24"/>
        </w:rPr>
        <w:t> </w:t>
      </w:r>
      <w:r>
        <w:rPr>
          <w:sz w:val="24"/>
        </w:rPr>
        <w:t>as</w:t>
      </w:r>
      <w:r>
        <w:rPr>
          <w:spacing w:val="-3"/>
          <w:sz w:val="24"/>
        </w:rPr>
        <w:t> </w:t>
      </w:r>
      <w:r>
        <w:rPr>
          <w:sz w:val="24"/>
        </w:rPr>
        <w:t>a</w:t>
      </w:r>
      <w:r>
        <w:rPr>
          <w:spacing w:val="-3"/>
          <w:sz w:val="24"/>
        </w:rPr>
        <w:t> </w:t>
      </w:r>
      <w:r>
        <w:rPr>
          <w:sz w:val="24"/>
        </w:rPr>
        <w:t>substitute</w:t>
      </w:r>
      <w:r>
        <w:rPr>
          <w:spacing w:val="-3"/>
          <w:sz w:val="24"/>
        </w:rPr>
        <w:t> </w:t>
      </w:r>
      <w:r>
        <w:rPr>
          <w:sz w:val="24"/>
        </w:rPr>
        <w:t>for the legitimate armed struggle being waged by the oppresses people in Southern African and Palestine;</w:t>
      </w:r>
    </w:p>
    <w:p>
      <w:pPr>
        <w:pStyle w:val="BodyText"/>
        <w:spacing w:before="10"/>
        <w:rPr>
          <w:sz w:val="35"/>
        </w:rPr>
      </w:pPr>
    </w:p>
    <w:p>
      <w:pPr>
        <w:pStyle w:val="ListParagraph"/>
        <w:numPr>
          <w:ilvl w:val="0"/>
          <w:numId w:val="1"/>
        </w:numPr>
        <w:tabs>
          <w:tab w:pos="1185" w:val="left" w:leader="none"/>
        </w:tabs>
        <w:spacing w:line="360" w:lineRule="auto" w:before="0" w:after="0"/>
        <w:ind w:left="1184" w:right="139" w:hanging="360"/>
        <w:jc w:val="both"/>
        <w:rPr>
          <w:sz w:val="24"/>
        </w:rPr>
      </w:pPr>
      <w:r>
        <w:rPr>
          <w:b/>
          <w:sz w:val="24"/>
        </w:rPr>
        <w:t>APPEALS </w:t>
      </w:r>
      <w:r>
        <w:rPr>
          <w:sz w:val="24"/>
        </w:rPr>
        <w:t>to the International Community to further increase Israeli’s isolation in the diplomatic, economic, political and military domains, and to support the just</w:t>
      </w:r>
      <w:r>
        <w:rPr>
          <w:spacing w:val="40"/>
          <w:sz w:val="24"/>
        </w:rPr>
        <w:t> </w:t>
      </w:r>
      <w:r>
        <w:rPr>
          <w:sz w:val="24"/>
        </w:rPr>
        <w:t>cause of the Palestinian People, until the Racist Regimes respect the will of the International Community;</w:t>
      </w:r>
    </w:p>
    <w:p>
      <w:pPr>
        <w:pStyle w:val="BodyText"/>
        <w:spacing w:before="11"/>
        <w:rPr>
          <w:sz w:val="35"/>
        </w:rPr>
      </w:pPr>
    </w:p>
    <w:p>
      <w:pPr>
        <w:pStyle w:val="ListParagraph"/>
        <w:numPr>
          <w:ilvl w:val="0"/>
          <w:numId w:val="1"/>
        </w:numPr>
        <w:tabs>
          <w:tab w:pos="1185" w:val="left" w:leader="none"/>
        </w:tabs>
        <w:spacing w:line="360" w:lineRule="auto" w:before="0" w:after="0"/>
        <w:ind w:left="1184" w:right="133" w:hanging="360"/>
        <w:jc w:val="both"/>
        <w:rPr>
          <w:sz w:val="24"/>
        </w:rPr>
      </w:pPr>
      <w:r>
        <w:rPr>
          <w:b/>
          <w:sz w:val="24"/>
        </w:rPr>
        <w:t>ADOPTS </w:t>
      </w:r>
      <w:r>
        <w:rPr>
          <w:sz w:val="24"/>
        </w:rPr>
        <w:t>the recommendations issued by the United Nations Committee on the exercising by the Palestinian People of their inalienable national rights, particularly with regards to the Palestinians’ inalienable and legitimate rights, to return to their national homeland and to establish their independent State in Palestine, and requests the United Nations General Assembly to take all necessary measures for the implementation of these recommendations;</w:t>
      </w:r>
    </w:p>
    <w:p>
      <w:pPr>
        <w:pStyle w:val="BodyText"/>
        <w:spacing w:before="1"/>
        <w:rPr>
          <w:sz w:val="36"/>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CALLS ON </w:t>
      </w:r>
      <w:r>
        <w:rPr>
          <w:sz w:val="24"/>
        </w:rPr>
        <w:t>the Security Council re reconsider its stand in respect of the recommendations of the Committee on the inalienable rights of the Pa</w:t>
      </w:r>
      <w:r>
        <w:rPr>
          <w:spacing w:val="-15"/>
          <w:sz w:val="24"/>
        </w:rPr>
        <w:t> </w:t>
      </w:r>
      <w:r>
        <w:rPr>
          <w:sz w:val="24"/>
        </w:rPr>
        <w:t>lestinian People, and take the necessary measures for their implementation since they have become identified with the will of the international community as expressed in the relevant</w:t>
      </w:r>
      <w:r>
        <w:rPr>
          <w:spacing w:val="-15"/>
          <w:sz w:val="24"/>
        </w:rPr>
        <w:t> </w:t>
      </w:r>
      <w:r>
        <w:rPr>
          <w:sz w:val="24"/>
        </w:rPr>
        <w:t>resolution</w:t>
      </w:r>
      <w:r>
        <w:rPr>
          <w:spacing w:val="-5"/>
          <w:sz w:val="24"/>
        </w:rPr>
        <w:t> </w:t>
      </w:r>
      <w:r>
        <w:rPr>
          <w:sz w:val="24"/>
        </w:rPr>
        <w:t>adopted</w:t>
      </w:r>
      <w:r>
        <w:rPr>
          <w:spacing w:val="-4"/>
          <w:sz w:val="24"/>
        </w:rPr>
        <w:t> </w:t>
      </w:r>
      <w:r>
        <w:rPr>
          <w:sz w:val="24"/>
        </w:rPr>
        <w:t>by</w:t>
      </w:r>
      <w:r>
        <w:rPr>
          <w:spacing w:val="-4"/>
          <w:sz w:val="24"/>
        </w:rPr>
        <w:t> </w:t>
      </w:r>
      <w:r>
        <w:rPr>
          <w:sz w:val="24"/>
        </w:rPr>
        <w:t>the</w:t>
      </w:r>
      <w:r>
        <w:rPr>
          <w:spacing w:val="-4"/>
          <w:sz w:val="24"/>
        </w:rPr>
        <w:t> </w:t>
      </w:r>
      <w:r>
        <w:rPr>
          <w:sz w:val="24"/>
        </w:rPr>
        <w:t>Thirty</w:t>
      </w:r>
      <w:r>
        <w:rPr>
          <w:spacing w:val="-4"/>
          <w:sz w:val="24"/>
        </w:rPr>
        <w:t> </w:t>
      </w:r>
      <w:r>
        <w:rPr>
          <w:sz w:val="24"/>
        </w:rPr>
        <w:t>First</w:t>
      </w:r>
      <w:r>
        <w:rPr>
          <w:spacing w:val="-2"/>
          <w:sz w:val="24"/>
        </w:rPr>
        <w:t> </w:t>
      </w:r>
      <w:r>
        <w:rPr>
          <w:sz w:val="24"/>
        </w:rPr>
        <w:t>Session</w:t>
      </w:r>
      <w:r>
        <w:rPr>
          <w:spacing w:val="-4"/>
          <w:sz w:val="24"/>
        </w:rPr>
        <w:t> </w:t>
      </w:r>
      <w:r>
        <w:rPr>
          <w:sz w:val="24"/>
        </w:rPr>
        <w:t>of</w:t>
      </w:r>
      <w:r>
        <w:rPr>
          <w:spacing w:val="-4"/>
          <w:sz w:val="24"/>
        </w:rPr>
        <w:t> </w:t>
      </w:r>
      <w:r>
        <w:rPr>
          <w:sz w:val="24"/>
        </w:rPr>
        <w:t>the</w:t>
      </w:r>
      <w:r>
        <w:rPr>
          <w:spacing w:val="-4"/>
          <w:sz w:val="24"/>
        </w:rPr>
        <w:t> </w:t>
      </w:r>
      <w:r>
        <w:rPr>
          <w:sz w:val="24"/>
        </w:rPr>
        <w:t>United</w:t>
      </w:r>
      <w:r>
        <w:rPr>
          <w:spacing w:val="-4"/>
          <w:sz w:val="24"/>
        </w:rPr>
        <w:t> </w:t>
      </w:r>
      <w:r>
        <w:rPr>
          <w:sz w:val="24"/>
        </w:rPr>
        <w:t>National</w:t>
      </w:r>
      <w:r>
        <w:rPr>
          <w:spacing w:val="-4"/>
          <w:sz w:val="24"/>
        </w:rPr>
        <w:t> </w:t>
      </w:r>
      <w:r>
        <w:rPr>
          <w:sz w:val="24"/>
        </w:rPr>
        <w:t>Gen</w:t>
      </w:r>
      <w:r>
        <w:rPr>
          <w:spacing w:val="-15"/>
          <w:sz w:val="24"/>
        </w:rPr>
        <w:t> </w:t>
      </w:r>
      <w:r>
        <w:rPr>
          <w:sz w:val="24"/>
        </w:rPr>
        <w:t>eral </w:t>
      </w:r>
      <w:r>
        <w:rPr>
          <w:spacing w:val="-2"/>
          <w:sz w:val="24"/>
        </w:rPr>
        <w:t>Assembly;</w:t>
      </w:r>
    </w:p>
    <w:p>
      <w:pPr>
        <w:pStyle w:val="BodyText"/>
        <w:spacing w:before="2"/>
        <w:rPr>
          <w:sz w:val="36"/>
        </w:rPr>
      </w:pPr>
    </w:p>
    <w:p>
      <w:pPr>
        <w:pStyle w:val="ListParagraph"/>
        <w:numPr>
          <w:ilvl w:val="0"/>
          <w:numId w:val="1"/>
        </w:numPr>
        <w:tabs>
          <w:tab w:pos="1185" w:val="left" w:leader="none"/>
        </w:tabs>
        <w:spacing w:line="360" w:lineRule="auto" w:before="0" w:after="0"/>
        <w:ind w:left="1185" w:right="148" w:hanging="361"/>
        <w:jc w:val="both"/>
        <w:rPr>
          <w:sz w:val="24"/>
        </w:rPr>
      </w:pPr>
      <w:r>
        <w:rPr>
          <w:b/>
          <w:sz w:val="24"/>
        </w:rPr>
        <w:t>REQUESTS </w:t>
      </w:r>
      <w:r>
        <w:rPr>
          <w:sz w:val="24"/>
        </w:rPr>
        <w:t>the Administrative Secretary-General to follow up the developments of the Palestinian issue and submit a report in this regard to the forthcoming session of the OAU Council of Ministers.</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8.200012pt;margin-top:35.346642pt;width:102.95pt;height:15.3pt;mso-position-horizontal-relative:page;mso-position-vertical-relative:page;z-index:-15768576" type="#_x0000_t202" id="docshape1" filled="false" stroked="false">
          <v:textbox inset="0,0,0,0">
            <w:txbxContent>
              <w:p>
                <w:pPr>
                  <w:pStyle w:val="BodyText"/>
                  <w:spacing w:before="10"/>
                  <w:ind w:left="20"/>
                </w:pPr>
                <w:r>
                  <w:rPr/>
                  <w:t>CM/Res.</w:t>
                </w:r>
                <w:r>
                  <w:rPr>
                    <w:spacing w:val="-4"/>
                  </w:rPr>
                  <w:t> </w:t>
                </w:r>
                <w:r>
                  <w:rPr/>
                  <w:t>596</w:t>
                </w:r>
                <w:r>
                  <w:rPr>
                    <w:spacing w:val="-5"/>
                  </w:rPr>
                  <w:t> </w:t>
                </w:r>
                <w:r>
                  <w:rPr>
                    <w:spacing w:val="-4"/>
                  </w:rPr>
                  <w:t>(XXX)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2267" w:right="2290"/>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36"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2023-06-07T08:54:36Z</dcterms:created>
  <dcterms:modified xsi:type="dcterms:W3CDTF">2023-06-07T08:54:36Z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