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598</w:t>
      </w:r>
      <w:r>
        <w:rPr>
          <w:spacing w:val="-5"/>
        </w:rPr>
        <w:t> </w:t>
      </w:r>
      <w:r>
        <w:rPr>
          <w:spacing w:val="-4"/>
        </w:rPr>
        <w:t>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 ON THE ELECTION OF THE</w:t>
      </w:r>
      <w:r>
        <w:rPr>
          <w:u w:val="none"/>
        </w:rPr>
        <w:t> </w:t>
      </w:r>
      <w:r>
        <w:rPr>
          <w:u w:val="single"/>
        </w:rPr>
        <w:t>MEMBERS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BOARD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EXTERNAL</w:t>
      </w:r>
      <w:r>
        <w:rPr>
          <w:spacing w:val="-9"/>
          <w:u w:val="single"/>
        </w:rPr>
        <w:t> </w:t>
      </w:r>
      <w:r>
        <w:rPr>
          <w:u w:val="single"/>
        </w:rPr>
        <w:t>AUDITORS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firstLine="720"/>
      </w:pPr>
      <w:r>
        <w:rPr/>
        <w:t>The</w:t>
      </w:r>
      <w:r>
        <w:rPr>
          <w:spacing w:val="23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Ministers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Organization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African</w:t>
      </w:r>
      <w:r>
        <w:rPr>
          <w:spacing w:val="23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document</w:t>
      </w:r>
      <w:r>
        <w:rPr>
          <w:spacing w:val="40"/>
        </w:rPr>
        <w:t> </w:t>
      </w:r>
      <w:r>
        <w:rPr/>
        <w:t>CM/846</w:t>
      </w:r>
      <w:r>
        <w:rPr>
          <w:spacing w:val="40"/>
        </w:rPr>
        <w:t> </w:t>
      </w:r>
      <w:r>
        <w:rPr/>
        <w:t>(XXX)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election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members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Board of External Auditors;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4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 appoint the following countries as members of the Board of External Auditors for the period from February 1978 to February 1981:</w:t>
      </w:r>
      <w:r>
        <w:rPr>
          <w:spacing w:val="40"/>
          <w:sz w:val="24"/>
        </w:rPr>
        <w:t> </w:t>
      </w:r>
      <w:r>
        <w:rPr>
          <w:sz w:val="24"/>
        </w:rPr>
        <w:t>Botswana, Gambia, Lesotho, Seychelles, Tunisia, Upper Volta and Togo,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7" w:hanging="360"/>
        <w:jc w:val="both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its sincere thanks and congratulations to the outgoing members of the Board of External Auditors for the excellent work done during their term of office.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60" w:right="1135" w:firstLine="6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2023-06-07T08:54:41Z</dcterms:created>
  <dcterms:modified xsi:type="dcterms:W3CDTF">2023-06-07T08:54:41Z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