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5"/>
        <w:jc w:val="right"/>
      </w:pPr>
      <w:r>
        <w:rPr/>
        <w:t>CM/Res.</w:t>
      </w:r>
      <w:r>
        <w:rPr>
          <w:spacing w:val="-4"/>
        </w:rPr>
        <w:t> </w:t>
      </w:r>
      <w:r>
        <w:rPr/>
        <w:t>601</w:t>
      </w:r>
      <w:r>
        <w:rPr>
          <w:spacing w:val="-5"/>
        </w:rPr>
        <w:t> </w:t>
      </w:r>
      <w:r>
        <w:rPr>
          <w:spacing w:val="-4"/>
        </w:rPr>
        <w:t>(XXX)</w:t>
      </w:r>
    </w:p>
    <w:p>
      <w:pPr>
        <w:pStyle w:val="BodyText"/>
        <w:spacing w:before="6"/>
        <w:rPr>
          <w:sz w:val="36"/>
        </w:rPr>
      </w:pPr>
    </w:p>
    <w:p>
      <w:pPr>
        <w:pStyle w:val="Title"/>
        <w:rPr>
          <w:u w:val="none"/>
        </w:rPr>
      </w:pPr>
      <w:r>
        <w:rPr>
          <w:u w:val="single"/>
        </w:rPr>
        <w:t>RESOLUTION</w:t>
      </w:r>
      <w:r>
        <w:rPr>
          <w:spacing w:val="-8"/>
          <w:u w:val="single"/>
        </w:rPr>
        <w:t> </w:t>
      </w:r>
      <w:r>
        <w:rPr>
          <w:u w:val="single"/>
        </w:rPr>
        <w:t>ON</w:t>
      </w:r>
      <w:r>
        <w:rPr>
          <w:spacing w:val="-7"/>
          <w:u w:val="single"/>
        </w:rPr>
        <w:t> </w:t>
      </w:r>
      <w:r>
        <w:rPr>
          <w:u w:val="single"/>
        </w:rPr>
        <w:t>THE</w:t>
      </w:r>
      <w:r>
        <w:rPr>
          <w:spacing w:val="-7"/>
          <w:u w:val="single"/>
        </w:rPr>
        <w:t> </w:t>
      </w:r>
      <w:r>
        <w:rPr>
          <w:u w:val="single"/>
        </w:rPr>
        <w:t>DISTRIBUTION</w:t>
      </w:r>
      <w:r>
        <w:rPr>
          <w:spacing w:val="-7"/>
          <w:u w:val="single"/>
        </w:rPr>
        <w:t> </w:t>
      </w:r>
      <w:r>
        <w:rPr>
          <w:u w:val="single"/>
        </w:rPr>
        <w:t>OF</w:t>
      </w:r>
      <w:r>
        <w:rPr>
          <w:spacing w:val="-6"/>
          <w:u w:val="single"/>
        </w:rPr>
        <w:t> </w:t>
      </w:r>
      <w:r>
        <w:rPr>
          <w:u w:val="single"/>
        </w:rPr>
        <w:t>WORKING</w:t>
      </w:r>
      <w:r>
        <w:rPr>
          <w:spacing w:val="-7"/>
          <w:u w:val="single"/>
        </w:rPr>
        <w:t> </w:t>
      </w:r>
      <w:r>
        <w:rPr>
          <w:spacing w:val="-2"/>
          <w:u w:val="single"/>
        </w:rPr>
        <w:t>DOCUMENTS</w:t>
      </w:r>
    </w:p>
    <w:p>
      <w:pPr>
        <w:pStyle w:val="BodyText"/>
        <w:rPr>
          <w:b/>
          <w:sz w:val="20"/>
        </w:rPr>
      </w:pPr>
    </w:p>
    <w:p>
      <w:pPr>
        <w:pStyle w:val="BodyText"/>
        <w:spacing w:before="7"/>
        <w:rPr>
          <w:b/>
          <w:sz w:val="19"/>
        </w:rPr>
      </w:pPr>
    </w:p>
    <w:p>
      <w:pPr>
        <w:pStyle w:val="BodyText"/>
        <w:spacing w:line="360" w:lineRule="auto" w:before="90"/>
        <w:ind w:left="104" w:right="147" w:firstLine="720"/>
        <w:jc w:val="both"/>
      </w:pPr>
      <w:r>
        <w:rPr/>
        <w:t>The Council of Ministers of the Organization of African Unity meeting in its Thirtieth Ordinary Session in Tripoli, Libya from 20 to 28 February, 1978,</w:t>
      </w:r>
    </w:p>
    <w:p>
      <w:pPr>
        <w:pStyle w:val="BodyText"/>
        <w:spacing w:before="1"/>
        <w:rPr>
          <w:sz w:val="36"/>
        </w:rPr>
      </w:pPr>
    </w:p>
    <w:p>
      <w:pPr>
        <w:pStyle w:val="BodyText"/>
        <w:spacing w:line="360" w:lineRule="auto"/>
        <w:ind w:left="104" w:right="135" w:firstLine="720"/>
        <w:jc w:val="both"/>
      </w:pPr>
      <w:r>
        <w:rPr>
          <w:b/>
          <w:u w:val="single"/>
        </w:rPr>
        <w:t>Anxious </w:t>
      </w:r>
      <w:r>
        <w:rPr>
          <w:b/>
        </w:rPr>
        <w:t> </w:t>
      </w:r>
      <w:r>
        <w:rPr/>
        <w:t>to ensure equal participation of all Member States in the life of the</w:t>
      </w:r>
      <w:r>
        <w:rPr>
          <w:spacing w:val="40"/>
        </w:rPr>
        <w:t> </w:t>
      </w:r>
      <w:r>
        <w:rPr/>
        <w:t>Organisation</w:t>
      </w:r>
      <w:r>
        <w:rPr>
          <w:spacing w:val="-7"/>
        </w:rPr>
        <w:t> </w:t>
      </w:r>
      <w:r>
        <w:rPr/>
        <w:t>especially</w:t>
      </w:r>
      <w:r>
        <w:rPr>
          <w:spacing w:val="-7"/>
        </w:rPr>
        <w:t> </w:t>
      </w:r>
      <w:r>
        <w:rPr/>
        <w:t>at</w:t>
      </w:r>
      <w:r>
        <w:rPr>
          <w:spacing w:val="-5"/>
        </w:rPr>
        <w:t> </w:t>
      </w:r>
      <w:r>
        <w:rPr/>
        <w:t>the</w:t>
      </w:r>
      <w:r>
        <w:rPr>
          <w:spacing w:val="-7"/>
        </w:rPr>
        <w:t> </w:t>
      </w:r>
      <w:r>
        <w:rPr/>
        <w:t>level</w:t>
      </w:r>
      <w:r>
        <w:rPr>
          <w:spacing w:val="-7"/>
        </w:rPr>
        <w:t> </w:t>
      </w:r>
      <w:r>
        <w:rPr/>
        <w:t>of</w:t>
      </w:r>
      <w:r>
        <w:rPr>
          <w:spacing w:val="-7"/>
        </w:rPr>
        <w:t> </w:t>
      </w:r>
      <w:r>
        <w:rPr/>
        <w:t>its</w:t>
      </w:r>
      <w:r>
        <w:rPr>
          <w:spacing w:val="-7"/>
        </w:rPr>
        <w:t> </w:t>
      </w:r>
      <w:r>
        <w:rPr/>
        <w:t>institutions</w:t>
      </w:r>
      <w:r>
        <w:rPr>
          <w:spacing w:val="-7"/>
        </w:rPr>
        <w:t> </w:t>
      </w:r>
      <w:r>
        <w:rPr/>
        <w:t>in</w:t>
      </w:r>
      <w:r>
        <w:rPr>
          <w:spacing w:val="-7"/>
        </w:rPr>
        <w:t> </w:t>
      </w:r>
      <w:r>
        <w:rPr/>
        <w:t>order</w:t>
      </w:r>
      <w:r>
        <w:rPr>
          <w:spacing w:val="-7"/>
        </w:rPr>
        <w:t> </w:t>
      </w:r>
      <w:r>
        <w:rPr/>
        <w:t>to</w:t>
      </w:r>
      <w:r>
        <w:rPr>
          <w:spacing w:val="-6"/>
        </w:rPr>
        <w:t> </w:t>
      </w:r>
      <w:r>
        <w:rPr/>
        <w:t>give</w:t>
      </w:r>
      <w:r>
        <w:rPr>
          <w:spacing w:val="-7"/>
        </w:rPr>
        <w:t> </w:t>
      </w:r>
      <w:r>
        <w:rPr/>
        <w:t>them</w:t>
      </w:r>
      <w:r>
        <w:rPr>
          <w:spacing w:val="-7"/>
        </w:rPr>
        <w:t> </w:t>
      </w:r>
      <w:r>
        <w:rPr/>
        <w:t>maximum</w:t>
      </w:r>
      <w:r>
        <w:rPr>
          <w:spacing w:val="-7"/>
        </w:rPr>
        <w:t> </w:t>
      </w:r>
      <w:r>
        <w:rPr/>
        <w:t>efficiency;</w:t>
      </w:r>
    </w:p>
    <w:p>
      <w:pPr>
        <w:pStyle w:val="BodyText"/>
        <w:spacing w:before="1"/>
        <w:rPr>
          <w:sz w:val="36"/>
        </w:rPr>
      </w:pPr>
    </w:p>
    <w:p>
      <w:pPr>
        <w:pStyle w:val="BodyText"/>
        <w:spacing w:line="360" w:lineRule="auto"/>
        <w:ind w:left="104" w:right="150" w:firstLine="720"/>
        <w:jc w:val="both"/>
      </w:pPr>
      <w:r>
        <w:rPr>
          <w:b/>
          <w:u w:val="single"/>
        </w:rPr>
        <w:t>Noting</w:t>
      </w:r>
      <w:r>
        <w:rPr>
          <w:b/>
        </w:rPr>
        <w:t> </w:t>
      </w:r>
      <w:r>
        <w:rPr/>
        <w:t>that the usual delay in the distribution of working documents to member States has not always made it possible for some of them to contribute effectively and positively to the work of the Institution of OAU,</w:t>
      </w:r>
    </w:p>
    <w:p>
      <w:pPr>
        <w:pStyle w:val="BodyText"/>
        <w:rPr>
          <w:sz w:val="36"/>
        </w:rPr>
      </w:pPr>
    </w:p>
    <w:p>
      <w:pPr>
        <w:pStyle w:val="BodyText"/>
        <w:spacing w:line="360" w:lineRule="auto" w:before="1"/>
        <w:ind w:left="104" w:right="137" w:firstLine="720"/>
        <w:jc w:val="both"/>
      </w:pPr>
      <w:r>
        <w:rPr>
          <w:b/>
          <w:u w:val="single"/>
        </w:rPr>
        <w:t>Recalling</w:t>
      </w:r>
      <w:r>
        <w:rPr>
          <w:b/>
        </w:rPr>
        <w:t> </w:t>
      </w:r>
      <w:r>
        <w:rPr/>
        <w:t>the provisions of Rule 11, paragraph (ii) of the functions and Regulations of the General Secretariat which stipulate </w:t>
      </w:r>
      <w:r>
        <w:rPr>
          <w:u w:val="single"/>
        </w:rPr>
        <w:t>inter alia:</w:t>
      </w:r>
      <w:r>
        <w:rPr>
          <w:spacing w:val="40"/>
        </w:rPr>
        <w:t> </w:t>
      </w:r>
      <w:r>
        <w:rPr/>
        <w:t>“The Administrative Secretary General shall furthermore transmit to Member States the Budget and Programme</w:t>
      </w:r>
      <w:r>
        <w:rPr>
          <w:spacing w:val="40"/>
        </w:rPr>
        <w:t> </w:t>
      </w:r>
      <w:r>
        <w:rPr/>
        <w:t>of Work at least one month, before convocation of the Sessions of the Assembly of the Council of Ministers, of the Specialized Commissions, and of their organs of the organization”:</w:t>
      </w:r>
    </w:p>
    <w:p>
      <w:pPr>
        <w:pStyle w:val="BodyText"/>
        <w:spacing w:before="9"/>
        <w:rPr>
          <w:sz w:val="35"/>
        </w:rPr>
      </w:pPr>
    </w:p>
    <w:p>
      <w:pPr>
        <w:pStyle w:val="ListParagraph"/>
        <w:numPr>
          <w:ilvl w:val="0"/>
          <w:numId w:val="1"/>
        </w:numPr>
        <w:tabs>
          <w:tab w:pos="1185" w:val="left" w:leader="none"/>
        </w:tabs>
        <w:spacing w:line="360" w:lineRule="auto" w:before="0" w:after="0"/>
        <w:ind w:left="1184" w:right="142" w:hanging="360"/>
        <w:jc w:val="both"/>
        <w:rPr>
          <w:sz w:val="24"/>
        </w:rPr>
      </w:pPr>
      <w:r>
        <w:rPr>
          <w:b/>
          <w:sz w:val="24"/>
        </w:rPr>
        <w:t>ATTRACTS </w:t>
      </w:r>
      <w:r>
        <w:rPr>
          <w:sz w:val="24"/>
        </w:rPr>
        <w:t>in particular the special attention of the Administrative secretary General</w:t>
      </w:r>
      <w:r>
        <w:rPr>
          <w:spacing w:val="-4"/>
          <w:sz w:val="24"/>
        </w:rPr>
        <w:t> </w:t>
      </w:r>
      <w:r>
        <w:rPr>
          <w:sz w:val="24"/>
        </w:rPr>
        <w:t>to</w:t>
      </w:r>
      <w:r>
        <w:rPr>
          <w:spacing w:val="-3"/>
          <w:sz w:val="24"/>
        </w:rPr>
        <w:t> </w:t>
      </w:r>
      <w:r>
        <w:rPr>
          <w:sz w:val="24"/>
        </w:rPr>
        <w:t>the</w:t>
      </w:r>
      <w:r>
        <w:rPr>
          <w:spacing w:val="-5"/>
          <w:sz w:val="24"/>
        </w:rPr>
        <w:t> </w:t>
      </w:r>
      <w:r>
        <w:rPr>
          <w:sz w:val="24"/>
        </w:rPr>
        <w:t>provision</w:t>
      </w:r>
      <w:r>
        <w:rPr>
          <w:spacing w:val="-4"/>
          <w:sz w:val="24"/>
        </w:rPr>
        <w:t> </w:t>
      </w:r>
      <w:r>
        <w:rPr>
          <w:sz w:val="24"/>
        </w:rPr>
        <w:t>of</w:t>
      </w:r>
      <w:r>
        <w:rPr>
          <w:spacing w:val="-5"/>
          <w:sz w:val="24"/>
        </w:rPr>
        <w:t> </w:t>
      </w:r>
      <w:r>
        <w:rPr>
          <w:sz w:val="24"/>
        </w:rPr>
        <w:t>Rule</w:t>
      </w:r>
      <w:r>
        <w:rPr>
          <w:spacing w:val="-5"/>
          <w:sz w:val="24"/>
        </w:rPr>
        <w:t> </w:t>
      </w:r>
      <w:r>
        <w:rPr>
          <w:sz w:val="24"/>
        </w:rPr>
        <w:t>11,</w:t>
      </w:r>
      <w:r>
        <w:rPr>
          <w:spacing w:val="-3"/>
          <w:sz w:val="24"/>
        </w:rPr>
        <w:t> </w:t>
      </w:r>
      <w:r>
        <w:rPr>
          <w:sz w:val="24"/>
        </w:rPr>
        <w:t>paragraph</w:t>
      </w:r>
      <w:r>
        <w:rPr>
          <w:spacing w:val="-4"/>
          <w:sz w:val="24"/>
        </w:rPr>
        <w:t> </w:t>
      </w:r>
      <w:r>
        <w:rPr>
          <w:sz w:val="24"/>
        </w:rPr>
        <w:t>(ii)</w:t>
      </w:r>
      <w:r>
        <w:rPr>
          <w:spacing w:val="-4"/>
          <w:sz w:val="24"/>
        </w:rPr>
        <w:t> </w:t>
      </w:r>
      <w:r>
        <w:rPr>
          <w:sz w:val="24"/>
        </w:rPr>
        <w:t>of</w:t>
      </w:r>
      <w:r>
        <w:rPr>
          <w:spacing w:val="-4"/>
          <w:sz w:val="24"/>
        </w:rPr>
        <w:t> </w:t>
      </w:r>
      <w:r>
        <w:rPr>
          <w:sz w:val="24"/>
        </w:rPr>
        <w:t>the</w:t>
      </w:r>
      <w:r>
        <w:rPr>
          <w:spacing w:val="-5"/>
          <w:sz w:val="24"/>
        </w:rPr>
        <w:t> </w:t>
      </w:r>
      <w:r>
        <w:rPr>
          <w:sz w:val="24"/>
        </w:rPr>
        <w:t>functions</w:t>
      </w:r>
      <w:r>
        <w:rPr>
          <w:spacing w:val="-5"/>
          <w:sz w:val="24"/>
        </w:rPr>
        <w:t> </w:t>
      </w:r>
      <w:r>
        <w:rPr>
          <w:sz w:val="24"/>
        </w:rPr>
        <w:t>and</w:t>
      </w:r>
      <w:r>
        <w:rPr>
          <w:spacing w:val="-5"/>
          <w:sz w:val="24"/>
        </w:rPr>
        <w:t> </w:t>
      </w:r>
      <w:r>
        <w:rPr>
          <w:sz w:val="24"/>
        </w:rPr>
        <w:t>Regulations</w:t>
      </w:r>
      <w:r>
        <w:rPr>
          <w:spacing w:val="-4"/>
          <w:sz w:val="24"/>
        </w:rPr>
        <w:t> </w:t>
      </w:r>
      <w:r>
        <w:rPr>
          <w:sz w:val="24"/>
        </w:rPr>
        <w:t>of the General Secretariat;</w:t>
      </w:r>
    </w:p>
    <w:p>
      <w:pPr>
        <w:pStyle w:val="BodyText"/>
        <w:rPr>
          <w:sz w:val="36"/>
        </w:rPr>
      </w:pPr>
    </w:p>
    <w:p>
      <w:pPr>
        <w:pStyle w:val="ListParagraph"/>
        <w:numPr>
          <w:ilvl w:val="0"/>
          <w:numId w:val="1"/>
        </w:numPr>
        <w:tabs>
          <w:tab w:pos="1185" w:val="left" w:leader="none"/>
        </w:tabs>
        <w:spacing w:line="360" w:lineRule="auto" w:before="0" w:after="0"/>
        <w:ind w:left="1184" w:right="136" w:hanging="360"/>
        <w:jc w:val="both"/>
        <w:rPr>
          <w:sz w:val="24"/>
        </w:rPr>
      </w:pPr>
      <w:r>
        <w:rPr>
          <w:b/>
          <w:sz w:val="24"/>
        </w:rPr>
        <w:t>CALLS UPON </w:t>
      </w:r>
      <w:r>
        <w:rPr>
          <w:sz w:val="24"/>
        </w:rPr>
        <w:t>the Secretary General to take all necessary steps to ensure that henceforth working documents of the Sessions of the organs of the Organization reach Member States, at least one month before the opening of these sessions;</w:t>
      </w:r>
    </w:p>
    <w:p>
      <w:pPr>
        <w:pStyle w:val="BodyText"/>
        <w:rPr>
          <w:sz w:val="36"/>
        </w:rPr>
      </w:pPr>
    </w:p>
    <w:p>
      <w:pPr>
        <w:pStyle w:val="ListParagraph"/>
        <w:numPr>
          <w:ilvl w:val="0"/>
          <w:numId w:val="1"/>
        </w:numPr>
        <w:tabs>
          <w:tab w:pos="1185" w:val="left" w:leader="none"/>
        </w:tabs>
        <w:spacing w:line="360" w:lineRule="auto" w:before="0" w:after="0"/>
        <w:ind w:left="1184" w:right="132" w:hanging="360"/>
        <w:jc w:val="both"/>
        <w:rPr>
          <w:sz w:val="24"/>
        </w:rPr>
      </w:pPr>
      <w:r>
        <w:rPr>
          <w:b/>
          <w:sz w:val="24"/>
        </w:rPr>
        <w:t>REQUESTS </w:t>
      </w:r>
      <w:r>
        <w:rPr>
          <w:sz w:val="24"/>
        </w:rPr>
        <w:t>the Advisory Committee on budgetary and Financial Matters as well as all other Committees to abide by the Calendar of their meetings, in order that their reports may be transmitted to OAU Member States by the Secretary General within the time limits prescribed.</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916"/>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3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2023-06-07T08:54:48Z</dcterms:created>
  <dcterms:modified xsi:type="dcterms:W3CDTF">2023-06-07T08:54:48Z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