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5"/>
        <w:jc w:val="right"/>
      </w:pPr>
      <w:r>
        <w:rPr/>
        <w:t>CM/Res.</w:t>
      </w:r>
      <w:r>
        <w:rPr>
          <w:spacing w:val="-11"/>
        </w:rPr>
        <w:t> </w:t>
      </w:r>
      <w:r>
        <w:rPr>
          <w:spacing w:val="-2"/>
        </w:rPr>
        <w:t>605(XXX)</w:t>
      </w:r>
    </w:p>
    <w:p>
      <w:pPr>
        <w:pStyle w:val="BodyText"/>
        <w:spacing w:before="6"/>
        <w:rPr>
          <w:sz w:val="36"/>
        </w:rPr>
      </w:pPr>
    </w:p>
    <w:p>
      <w:pPr>
        <w:pStyle w:val="Title"/>
        <w:spacing w:line="360" w:lineRule="auto"/>
        <w:rPr>
          <w:u w:val="none"/>
        </w:rPr>
      </w:pPr>
      <w:r>
        <w:rPr>
          <w:u w:val="single"/>
        </w:rPr>
        <w:t>RESOLUTION</w:t>
      </w:r>
      <w:r>
        <w:rPr>
          <w:spacing w:val="-11"/>
          <w:u w:val="single"/>
        </w:rPr>
        <w:t> </w:t>
      </w:r>
      <w:r>
        <w:rPr>
          <w:u w:val="single"/>
        </w:rPr>
        <w:t>ON</w:t>
      </w:r>
      <w:r>
        <w:rPr>
          <w:spacing w:val="-11"/>
          <w:u w:val="single"/>
        </w:rPr>
        <w:t> </w:t>
      </w:r>
      <w:r>
        <w:rPr>
          <w:u w:val="single"/>
        </w:rPr>
        <w:t>DOLLAR</w:t>
      </w:r>
      <w:r>
        <w:rPr>
          <w:spacing w:val="-11"/>
          <w:u w:val="single"/>
        </w:rPr>
        <w:t> </w:t>
      </w:r>
      <w:r>
        <w:rPr>
          <w:u w:val="single"/>
        </w:rPr>
        <w:t>DEVALUATION</w:t>
      </w:r>
      <w:r>
        <w:rPr>
          <w:spacing w:val="-11"/>
          <w:u w:val="single"/>
        </w:rPr>
        <w:t> </w:t>
      </w:r>
      <w:r>
        <w:rPr>
          <w:u w:val="single"/>
        </w:rPr>
        <w:t>AND</w:t>
      </w:r>
      <w:r>
        <w:rPr>
          <w:spacing w:val="-11"/>
          <w:u w:val="single"/>
        </w:rPr>
        <w:t> </w:t>
      </w:r>
      <w:r>
        <w:rPr>
          <w:u w:val="single"/>
        </w:rPr>
        <w:t>POST-</w:t>
      </w:r>
      <w:r>
        <w:rPr>
          <w:u w:val="none"/>
        </w:rPr>
        <w:t> </w:t>
      </w:r>
      <w:r>
        <w:rPr>
          <w:u w:val="single"/>
        </w:rPr>
        <w:t>ADJUSTMENT FOR OAU STATUTORY STAFF</w:t>
      </w:r>
    </w:p>
    <w:p>
      <w:pPr>
        <w:pStyle w:val="BodyText"/>
        <w:spacing w:before="6"/>
        <w:rPr>
          <w:b/>
          <w:sz w:val="27"/>
        </w:rPr>
      </w:pPr>
    </w:p>
    <w:p>
      <w:pPr>
        <w:pStyle w:val="BodyText"/>
        <w:spacing w:line="362" w:lineRule="auto" w:before="90"/>
        <w:ind w:left="104" w:right="124" w:firstLine="720"/>
        <w:jc w:val="both"/>
      </w:pPr>
      <w:r>
        <w:rPr/>
        <w:t>The Council of Ministers of the Organization of African Unity meeting in its Thirtieth Ordinary Session in Tripoli, Libya from 20 to 28 February, 1978,</w:t>
      </w:r>
    </w:p>
    <w:p>
      <w:pPr>
        <w:pStyle w:val="BodyText"/>
        <w:spacing w:before="7"/>
        <w:rPr>
          <w:sz w:val="35"/>
        </w:rPr>
      </w:pPr>
    </w:p>
    <w:p>
      <w:pPr>
        <w:pStyle w:val="BodyText"/>
        <w:spacing w:line="360" w:lineRule="auto"/>
        <w:ind w:left="104" w:right="129" w:firstLine="720"/>
        <w:jc w:val="both"/>
      </w:pPr>
      <w:r>
        <w:rPr>
          <w:b/>
          <w:u w:val="single"/>
        </w:rPr>
        <w:t>Considering</w:t>
      </w:r>
      <w:r>
        <w:rPr>
          <w:b/>
        </w:rPr>
        <w:t> </w:t>
      </w:r>
      <w:r>
        <w:rPr/>
        <w:t>paragraph 131 of the Report on the Activities of the Advisory Committee</w:t>
      </w:r>
      <w:r>
        <w:rPr>
          <w:spacing w:val="40"/>
        </w:rPr>
        <w:t> </w:t>
      </w:r>
      <w:r>
        <w:rPr/>
        <w:t>on</w:t>
      </w:r>
      <w:r>
        <w:rPr>
          <w:spacing w:val="-15"/>
        </w:rPr>
        <w:t> </w:t>
      </w:r>
      <w:r>
        <w:rPr/>
        <w:t>budgetary</w:t>
      </w:r>
      <w:r>
        <w:rPr>
          <w:spacing w:val="-8"/>
        </w:rPr>
        <w:t> </w:t>
      </w:r>
      <w:r>
        <w:rPr/>
        <w:t>and Financial Mattes for the period February 1977 to January, 1978</w:t>
      </w:r>
      <w:r>
        <w:rPr>
          <w:spacing w:val="-15"/>
        </w:rPr>
        <w:t> </w:t>
      </w:r>
      <w:r>
        <w:rPr/>
        <w:t>,</w:t>
      </w:r>
      <w:r>
        <w:rPr>
          <w:spacing w:val="-1"/>
        </w:rPr>
        <w:t> </w:t>
      </w:r>
      <w:r>
        <w:rPr/>
        <w:t>relating</w:t>
      </w:r>
      <w:r>
        <w:rPr>
          <w:spacing w:val="-3"/>
        </w:rPr>
        <w:t> </w:t>
      </w:r>
      <w:r>
        <w:rPr/>
        <w:t>to the system of payment of certain allowances in respect of adjustment of basic salary and post adjustment (doc. CM/841 (XXX) to the statutory staff of the Organization;</w:t>
      </w:r>
    </w:p>
    <w:p>
      <w:pPr>
        <w:pStyle w:val="BodyText"/>
        <w:spacing w:before="10"/>
        <w:rPr>
          <w:sz w:val="35"/>
        </w:rPr>
      </w:pPr>
    </w:p>
    <w:p>
      <w:pPr>
        <w:spacing w:before="0"/>
        <w:ind w:left="824" w:right="0" w:firstLine="0"/>
        <w:jc w:val="both"/>
        <w:rPr>
          <w:sz w:val="24"/>
        </w:rPr>
      </w:pPr>
      <w:r>
        <w:rPr>
          <w:b/>
          <w:sz w:val="24"/>
          <w:u w:val="single"/>
        </w:rPr>
        <w:t>Taking</w:t>
      </w:r>
      <w:r>
        <w:rPr>
          <w:b/>
          <w:spacing w:val="-7"/>
          <w:sz w:val="24"/>
          <w:u w:val="single"/>
        </w:rPr>
        <w:t> </w:t>
      </w:r>
      <w:r>
        <w:rPr>
          <w:b/>
          <w:sz w:val="24"/>
          <w:u w:val="single"/>
        </w:rPr>
        <w:t>note</w:t>
      </w:r>
      <w:r>
        <w:rPr>
          <w:b/>
          <w:spacing w:val="-5"/>
          <w:sz w:val="24"/>
        </w:rPr>
        <w:t> </w:t>
      </w:r>
      <w:r>
        <w:rPr>
          <w:sz w:val="24"/>
        </w:rPr>
        <w:t>of</w:t>
      </w:r>
      <w:r>
        <w:rPr>
          <w:spacing w:val="-8"/>
          <w:sz w:val="24"/>
        </w:rPr>
        <w:t> </w:t>
      </w:r>
      <w:r>
        <w:rPr>
          <w:sz w:val="24"/>
        </w:rPr>
        <w:t>the</w:t>
      </w:r>
      <w:r>
        <w:rPr>
          <w:spacing w:val="-7"/>
          <w:sz w:val="24"/>
        </w:rPr>
        <w:t> </w:t>
      </w:r>
      <w:r>
        <w:rPr>
          <w:sz w:val="24"/>
        </w:rPr>
        <w:t>relevant</w:t>
      </w:r>
      <w:r>
        <w:rPr>
          <w:spacing w:val="-6"/>
          <w:sz w:val="24"/>
        </w:rPr>
        <w:t> </w:t>
      </w:r>
      <w:r>
        <w:rPr>
          <w:sz w:val="24"/>
        </w:rPr>
        <w:t>documents</w:t>
      </w:r>
      <w:r>
        <w:rPr>
          <w:spacing w:val="-7"/>
          <w:sz w:val="24"/>
        </w:rPr>
        <w:t> </w:t>
      </w:r>
      <w:r>
        <w:rPr>
          <w:sz w:val="24"/>
        </w:rPr>
        <w:t>on</w:t>
      </w:r>
      <w:r>
        <w:rPr>
          <w:spacing w:val="-8"/>
          <w:sz w:val="24"/>
        </w:rPr>
        <w:t> </w:t>
      </w:r>
      <w:r>
        <w:rPr>
          <w:sz w:val="24"/>
        </w:rPr>
        <w:t>the</w:t>
      </w:r>
      <w:r>
        <w:rPr>
          <w:spacing w:val="-8"/>
          <w:sz w:val="24"/>
        </w:rPr>
        <w:t> </w:t>
      </w:r>
      <w:r>
        <w:rPr>
          <w:spacing w:val="-2"/>
          <w:sz w:val="24"/>
        </w:rPr>
        <w:t>matters;</w:t>
      </w:r>
    </w:p>
    <w:p>
      <w:pPr>
        <w:pStyle w:val="BodyText"/>
        <w:rPr>
          <w:sz w:val="26"/>
        </w:rPr>
      </w:pPr>
    </w:p>
    <w:p>
      <w:pPr>
        <w:pStyle w:val="BodyText"/>
        <w:spacing w:before="3"/>
        <w:rPr>
          <w:sz w:val="22"/>
        </w:rPr>
      </w:pPr>
    </w:p>
    <w:p>
      <w:pPr>
        <w:pStyle w:val="BodyText"/>
        <w:spacing w:line="360" w:lineRule="auto"/>
        <w:ind w:left="824" w:right="155"/>
        <w:jc w:val="both"/>
      </w:pPr>
      <w:r>
        <w:rPr>
          <w:b/>
        </w:rPr>
        <w:t>DECIDES </w:t>
      </w:r>
      <w:r>
        <w:rPr/>
        <w:t>to refer the question to the Committee of 14 on the Structural Reform of the OAU Secretariat to examine and to report upon to the Council of Ministers at its forthcoming Session.</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2192" w:right="57" w:hanging="562"/>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2023-06-07T08:54:58Z</dcterms:created>
  <dcterms:modified xsi:type="dcterms:W3CDTF">2023-06-07T08:54:58Z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