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5"/>
          <w:u w:val="single"/>
        </w:rPr>
        <w:t> </w:t>
      </w:r>
      <w:r>
        <w:rPr>
          <w:u w:val="single"/>
        </w:rPr>
        <w:t>ON</w:t>
      </w:r>
      <w:r>
        <w:rPr>
          <w:spacing w:val="6"/>
          <w:u w:val="single"/>
        </w:rPr>
        <w:t> </w:t>
      </w:r>
      <w:r>
        <w:rPr>
          <w:spacing w:val="-5"/>
          <w:u w:val="single"/>
        </w:rPr>
        <w:t>THE</w:t>
      </w:r>
    </w:p>
    <w:p>
      <w:pPr>
        <w:pStyle w:val="Title"/>
        <w:spacing w:before="136"/>
        <w:ind w:right="1227"/>
        <w:rPr>
          <w:u w:val="none"/>
        </w:rPr>
      </w:pPr>
      <w:r>
        <w:rPr>
          <w:u w:val="single"/>
        </w:rPr>
        <w:t>CONFERENCE</w:t>
      </w:r>
      <w:r>
        <w:rPr>
          <w:spacing w:val="6"/>
          <w:u w:val="single"/>
        </w:rPr>
        <w:t> </w:t>
      </w:r>
      <w:r>
        <w:rPr>
          <w:u w:val="single"/>
        </w:rPr>
        <w:t>ON</w:t>
      </w:r>
      <w:r>
        <w:rPr>
          <w:spacing w:val="6"/>
          <w:u w:val="single"/>
        </w:rPr>
        <w:t> </w:t>
      </w:r>
      <w:r>
        <w:rPr>
          <w:u w:val="single"/>
        </w:rPr>
        <w:t>THE</w:t>
      </w:r>
      <w:r>
        <w:rPr>
          <w:spacing w:val="7"/>
          <w:u w:val="single"/>
        </w:rPr>
        <w:t> </w:t>
      </w:r>
      <w:r>
        <w:rPr>
          <w:u w:val="single"/>
        </w:rPr>
        <w:t>SITUATION</w:t>
      </w:r>
      <w:r>
        <w:rPr>
          <w:spacing w:val="6"/>
          <w:u w:val="single"/>
        </w:rPr>
        <w:t> </w:t>
      </w:r>
      <w:r>
        <w:rPr>
          <w:u w:val="single"/>
        </w:rPr>
        <w:t>OF</w:t>
      </w:r>
      <w:r>
        <w:rPr>
          <w:spacing w:val="9"/>
          <w:u w:val="single"/>
        </w:rPr>
        <w:t> </w:t>
      </w:r>
      <w:r>
        <w:rPr>
          <w:u w:val="single"/>
        </w:rPr>
        <w:t>REFUGEES</w:t>
      </w:r>
      <w:r>
        <w:rPr>
          <w:spacing w:val="6"/>
          <w:u w:val="single"/>
        </w:rPr>
        <w:t> </w:t>
      </w:r>
      <w:r>
        <w:rPr>
          <w:u w:val="single"/>
        </w:rPr>
        <w:t>IN</w:t>
      </w:r>
      <w:r>
        <w:rPr>
          <w:spacing w:val="6"/>
          <w:u w:val="single"/>
        </w:rPr>
        <w:t> </w:t>
      </w:r>
      <w:r>
        <w:rPr>
          <w:spacing w:val="-2"/>
          <w:u w:val="single"/>
        </w:rPr>
        <w:t>AFRICA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line="374" w:lineRule="auto" w:before="96"/>
        <w:ind w:left="171" w:right="108" w:firstLine="676"/>
        <w:jc w:val="both"/>
      </w:pPr>
      <w:r>
        <w:rPr/>
        <w:t>The Council of Ministers of the Organization of African Unity, meeting in its Thirty-First Ordinary Session in Khartoum, Democratic Republic of the Sudan, from 7 to 18 July 1978,</w:t>
      </w:r>
    </w:p>
    <w:p>
      <w:pPr>
        <w:pStyle w:val="BodyText"/>
        <w:spacing w:before="2"/>
        <w:rPr>
          <w:sz w:val="33"/>
        </w:rPr>
      </w:pPr>
    </w:p>
    <w:p>
      <w:pPr>
        <w:spacing w:before="1"/>
        <w:ind w:left="848" w:right="0" w:firstLine="0"/>
        <w:jc w:val="left"/>
        <w:rPr>
          <w:sz w:val="22"/>
        </w:rPr>
      </w:pPr>
      <w:r>
        <w:rPr>
          <w:b/>
          <w:sz w:val="22"/>
          <w:u w:val="single"/>
        </w:rPr>
        <w:t>Having</w:t>
      </w:r>
      <w:r>
        <w:rPr>
          <w:b/>
          <w:spacing w:val="4"/>
          <w:sz w:val="22"/>
          <w:u w:val="single"/>
        </w:rPr>
        <w:t> </w:t>
      </w:r>
      <w:r>
        <w:rPr>
          <w:b/>
          <w:sz w:val="22"/>
          <w:u w:val="single"/>
        </w:rPr>
        <w:t>reviewed</w:t>
      </w:r>
      <w:r>
        <w:rPr>
          <w:b/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general</w:t>
      </w:r>
      <w:r>
        <w:rPr>
          <w:spacing w:val="4"/>
          <w:sz w:val="22"/>
        </w:rPr>
        <w:t> </w:t>
      </w:r>
      <w:r>
        <w:rPr>
          <w:sz w:val="22"/>
        </w:rPr>
        <w:t>situation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refugees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African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countries;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9" w:lineRule="auto"/>
        <w:ind w:left="171" w:right="113" w:firstLine="676"/>
        <w:jc w:val="both"/>
      </w:pPr>
      <w:r>
        <w:rPr>
          <w:b/>
          <w:u w:val="single"/>
        </w:rPr>
        <w:t>Noting with deep concern</w:t>
      </w:r>
      <w:r>
        <w:rPr>
          <w:b/>
        </w:rPr>
        <w:t> </w:t>
      </w:r>
      <w:r>
        <w:rPr/>
        <w:t>that, since the 1967 </w:t>
      </w:r>
      <w:r>
        <w:rPr>
          <w:u w:val="single"/>
        </w:rPr>
        <w:t>Conference on the Legal, Economic, and</w:t>
      </w:r>
      <w:r>
        <w:rPr/>
        <w:t> </w:t>
      </w:r>
      <w:r>
        <w:rPr>
          <w:u w:val="single"/>
        </w:rPr>
        <w:t>Social Aspects of African Refugee Problems,</w:t>
      </w:r>
      <w:r>
        <w:rPr/>
        <w:t> the number of refugees has been constantly</w:t>
      </w:r>
      <w:r>
        <w:rPr>
          <w:spacing w:val="40"/>
        </w:rPr>
        <w:t> </w:t>
      </w:r>
      <w:r>
        <w:rPr/>
        <w:t>increasing</w:t>
      </w:r>
      <w:r>
        <w:rPr>
          <w:spacing w:val="28"/>
        </w:rPr>
        <w:t> </w:t>
      </w:r>
      <w:r>
        <w:rPr/>
        <w:t>and</w:t>
      </w:r>
      <w:r>
        <w:rPr>
          <w:spacing w:val="30"/>
        </w:rPr>
        <w:t> </w:t>
      </w:r>
      <w:r>
        <w:rPr/>
        <w:t>that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problems</w:t>
      </w:r>
      <w:r>
        <w:rPr>
          <w:spacing w:val="28"/>
        </w:rPr>
        <w:t> </w:t>
      </w:r>
      <w:r>
        <w:rPr/>
        <w:t>with</w:t>
      </w:r>
      <w:r>
        <w:rPr>
          <w:spacing w:val="30"/>
        </w:rPr>
        <w:t> </w:t>
      </w:r>
      <w:r>
        <w:rPr/>
        <w:t>which</w:t>
      </w:r>
      <w:r>
        <w:rPr>
          <w:spacing w:val="30"/>
        </w:rPr>
        <w:t> </w:t>
      </w:r>
      <w:r>
        <w:rPr/>
        <w:t>they</w:t>
      </w:r>
      <w:r>
        <w:rPr>
          <w:spacing w:val="28"/>
        </w:rPr>
        <w:t> </w:t>
      </w:r>
      <w:r>
        <w:rPr/>
        <w:t>are</w:t>
      </w:r>
      <w:r>
        <w:rPr>
          <w:spacing w:val="28"/>
        </w:rPr>
        <w:t> </w:t>
      </w:r>
      <w:r>
        <w:rPr/>
        <w:t>confronted</w:t>
      </w:r>
      <w:r>
        <w:rPr>
          <w:spacing w:val="30"/>
        </w:rPr>
        <w:t> </w:t>
      </w:r>
      <w:r>
        <w:rPr/>
        <w:t>tend</w:t>
      </w:r>
      <w:r>
        <w:rPr>
          <w:spacing w:val="30"/>
        </w:rPr>
        <w:t> </w:t>
      </w:r>
      <w:r>
        <w:rPr/>
        <w:t>to</w:t>
      </w:r>
      <w:r>
        <w:rPr>
          <w:spacing w:val="28"/>
        </w:rPr>
        <w:t> </w:t>
      </w:r>
      <w:r>
        <w:rPr/>
        <w:t>become</w:t>
      </w:r>
      <w:r>
        <w:rPr>
          <w:spacing w:val="28"/>
        </w:rPr>
        <w:t> </w:t>
      </w:r>
      <w:r>
        <w:rPr/>
        <w:t>more</w:t>
      </w:r>
      <w:r>
        <w:rPr>
          <w:spacing w:val="28"/>
        </w:rPr>
        <w:t> </w:t>
      </w:r>
      <w:r>
        <w:rPr/>
        <w:t>intricate and delicate to solve;</w:t>
      </w:r>
    </w:p>
    <w:p>
      <w:pPr>
        <w:pStyle w:val="BodyText"/>
        <w:spacing w:before="11"/>
        <w:rPr>
          <w:sz w:val="33"/>
        </w:rPr>
      </w:pPr>
    </w:p>
    <w:p>
      <w:pPr>
        <w:pStyle w:val="BodyText"/>
        <w:spacing w:line="364" w:lineRule="auto"/>
        <w:ind w:left="171" w:right="128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that one of the basic principles of assistance to African refugees, as defined in</w:t>
      </w:r>
      <w:r>
        <w:rPr>
          <w:spacing w:val="40"/>
        </w:rPr>
        <w:t> </w:t>
      </w:r>
      <w:r>
        <w:rPr/>
        <w:t>the OAU Convention, is that “Granting of Asylum is a Peaceful and Humanitarian Act”;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110" w:firstLine="676"/>
        <w:jc w:val="both"/>
      </w:pPr>
      <w:r>
        <w:rPr>
          <w:b/>
          <w:u w:val="single"/>
        </w:rPr>
        <w:t>Having noted</w:t>
      </w:r>
      <w:r>
        <w:rPr>
          <w:b/>
        </w:rPr>
        <w:t> </w:t>
      </w:r>
      <w:r>
        <w:rPr/>
        <w:t>the information submitted by the Administrative Secretary-General in his progress report for the period July 1977 – February 1978 about the convening of a Pan-African Conference on Refugee Problems in May 1979, at Arusha, Tanzania: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08" w:hanging="336"/>
        <w:jc w:val="both"/>
        <w:rPr>
          <w:sz w:val="22"/>
        </w:rPr>
      </w:pPr>
      <w:r>
        <w:rPr>
          <w:b/>
          <w:sz w:val="22"/>
        </w:rPr>
        <w:t>AUTHORISES </w:t>
      </w:r>
      <w:r>
        <w:rPr>
          <w:sz w:val="22"/>
        </w:rPr>
        <w:t>the OAU to co-sponsor this Conference in cooperation with UNHCR and UNECA: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10" w:hanging="336"/>
        <w:jc w:val="both"/>
        <w:rPr>
          <w:sz w:val="22"/>
        </w:rPr>
      </w:pPr>
      <w:r>
        <w:rPr>
          <w:b/>
          <w:sz w:val="22"/>
        </w:rPr>
        <w:t>CALLS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UPON</w:t>
      </w:r>
      <w:r>
        <w:rPr>
          <w:b/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actively</w:t>
      </w:r>
      <w:r>
        <w:rPr>
          <w:spacing w:val="40"/>
          <w:sz w:val="22"/>
        </w:rPr>
        <w:t> </w:t>
      </w:r>
      <w:r>
        <w:rPr>
          <w:sz w:val="22"/>
        </w:rPr>
        <w:t>participate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Conference and to extend all possible political, moral and financial support to ensure that all substantive and organizational arrangement for the Conference are properly made;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10" w:hanging="336"/>
        <w:jc w:val="both"/>
        <w:rPr>
          <w:sz w:val="22"/>
        </w:rPr>
      </w:pPr>
      <w:r>
        <w:rPr>
          <w:b/>
          <w:sz w:val="22"/>
        </w:rPr>
        <w:t>COMMENDS </w:t>
      </w:r>
      <w:r>
        <w:rPr>
          <w:sz w:val="22"/>
        </w:rPr>
        <w:t>the preparatory work undertaken by the Planning Committee</w:t>
      </w:r>
      <w:r>
        <w:rPr>
          <w:spacing w:val="80"/>
          <w:sz w:val="22"/>
        </w:rPr>
        <w:t> </w:t>
      </w:r>
      <w:r>
        <w:rPr>
          <w:sz w:val="22"/>
        </w:rPr>
        <w:t>established in November 1977 to assume responsibility for the Conference, whose membership includes:</w:t>
      </w:r>
      <w:r>
        <w:rPr>
          <w:spacing w:val="40"/>
          <w:sz w:val="22"/>
        </w:rPr>
        <w:t> </w:t>
      </w:r>
      <w:r>
        <w:rPr>
          <w:sz w:val="22"/>
        </w:rPr>
        <w:t>OAU, UNHCR, UNECA, and three co-sponsors, as well as AACC, IUEF, LWF, SEAS and WCC;</w:t>
      </w: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08" w:hanging="336"/>
        <w:jc w:val="both"/>
        <w:rPr>
          <w:sz w:val="22"/>
        </w:rPr>
      </w:pPr>
      <w:r>
        <w:rPr>
          <w:b/>
          <w:sz w:val="22"/>
        </w:rPr>
        <w:t>FURTHER COMMENDS</w:t>
      </w:r>
      <w:r>
        <w:rPr>
          <w:b/>
          <w:spacing w:val="40"/>
          <w:sz w:val="22"/>
        </w:rPr>
        <w:t> </w:t>
      </w:r>
      <w:r>
        <w:rPr>
          <w:sz w:val="22"/>
        </w:rPr>
        <w:t>the generous contributions made by donor governments and agencies genuinely interested in African refugee problems, and </w:t>
      </w:r>
      <w:r>
        <w:rPr>
          <w:sz w:val="22"/>
          <w:u w:val="single"/>
        </w:rPr>
        <w:t>calls upon</w:t>
      </w:r>
      <w:r>
        <w:rPr>
          <w:sz w:val="22"/>
        </w:rPr>
        <w:t> all concerned to follow suit and to extend assistance to the Planning Committee;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4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96" w:after="0"/>
        <w:ind w:left="1183" w:right="109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Administrative Secretary-General to report to the Thirty-Second Session</w:t>
      </w:r>
      <w:r>
        <w:rPr>
          <w:spacing w:val="30"/>
          <w:sz w:val="22"/>
        </w:rPr>
        <w:t> </w:t>
      </w:r>
      <w:r>
        <w:rPr>
          <w:sz w:val="22"/>
        </w:rPr>
        <w:t>of</w:t>
      </w:r>
      <w:r>
        <w:rPr>
          <w:spacing w:val="29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Council</w:t>
      </w:r>
      <w:r>
        <w:rPr>
          <w:spacing w:val="29"/>
          <w:sz w:val="22"/>
        </w:rPr>
        <w:t> </w:t>
      </w:r>
      <w:r>
        <w:rPr>
          <w:sz w:val="22"/>
        </w:rPr>
        <w:t>of</w:t>
      </w:r>
      <w:r>
        <w:rPr>
          <w:spacing w:val="29"/>
          <w:sz w:val="22"/>
        </w:rPr>
        <w:t> </w:t>
      </w:r>
      <w:r>
        <w:rPr>
          <w:sz w:val="22"/>
        </w:rPr>
        <w:t>Ministers</w:t>
      </w:r>
      <w:r>
        <w:rPr>
          <w:spacing w:val="29"/>
          <w:sz w:val="22"/>
        </w:rPr>
        <w:t> </w:t>
      </w:r>
      <w:r>
        <w:rPr>
          <w:sz w:val="22"/>
        </w:rPr>
        <w:t>on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progress</w:t>
      </w:r>
      <w:r>
        <w:rPr>
          <w:spacing w:val="29"/>
          <w:sz w:val="22"/>
        </w:rPr>
        <w:t> </w:t>
      </w:r>
      <w:r>
        <w:rPr>
          <w:sz w:val="22"/>
        </w:rPr>
        <w:t>achieved</w:t>
      </w:r>
      <w:r>
        <w:rPr>
          <w:spacing w:val="30"/>
          <w:sz w:val="22"/>
        </w:rPr>
        <w:t> </w:t>
      </w:r>
      <w:r>
        <w:rPr>
          <w:sz w:val="22"/>
        </w:rPr>
        <w:t>towards</w:t>
      </w:r>
      <w:r>
        <w:rPr>
          <w:spacing w:val="29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convening of this Conference.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0" w:after="0"/>
        <w:ind w:left="1184" w:right="0" w:hanging="337"/>
        <w:jc w:val="left"/>
        <w:rPr>
          <w:sz w:val="22"/>
        </w:rPr>
      </w:pPr>
      <w:r>
        <w:rPr>
          <w:b/>
          <w:sz w:val="22"/>
        </w:rPr>
        <w:t>COMMENDS</w:t>
      </w:r>
      <w:r>
        <w:rPr>
          <w:b/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Government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Tanzania</w:t>
      </w:r>
      <w:r>
        <w:rPr>
          <w:spacing w:val="5"/>
          <w:sz w:val="22"/>
        </w:rPr>
        <w:t> </w:t>
      </w:r>
      <w:r>
        <w:rPr>
          <w:sz w:val="22"/>
        </w:rPr>
        <w:t>for</w:t>
      </w:r>
      <w:r>
        <w:rPr>
          <w:spacing w:val="6"/>
          <w:sz w:val="22"/>
        </w:rPr>
        <w:t> </w:t>
      </w:r>
      <w:r>
        <w:rPr>
          <w:sz w:val="22"/>
        </w:rPr>
        <w:t>accepting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6"/>
          <w:sz w:val="22"/>
        </w:rPr>
        <w:t> </w:t>
      </w:r>
      <w:r>
        <w:rPr>
          <w:sz w:val="22"/>
        </w:rPr>
        <w:t>host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Conference.</w:t>
      </w:r>
    </w:p>
    <w:sectPr>
      <w:pgSz w:w="12240" w:h="15840"/>
      <w:pgMar w:header="701" w:footer="0" w:top="126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279999pt;margin-top:34.068241pt;width:101.55pt;height:14.5pt;mso-position-horizontal-relative:page;mso-position-vertical-relative:page;z-index:-15760384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24"/>
                  </w:rPr>
                  <w:t> </w:t>
                </w:r>
                <w:r>
                  <w:rPr/>
                  <w:t>621</w:t>
                </w:r>
                <w:r>
                  <w:rPr>
                    <w:spacing w:val="25"/>
                  </w:rPr>
                  <w:t> </w:t>
                </w:r>
                <w:r>
                  <w:rPr>
                    <w:spacing w:val="-2"/>
                  </w:rPr>
                  <w:t>(XXXI)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1232" w:right="1193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08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2023-06-07T08:55:42Z</dcterms:created>
  <dcterms:modified xsi:type="dcterms:W3CDTF">2023-06-07T08:55:42Z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