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9" w:lineRule="auto"/>
        <w:rPr>
          <w:u w:val="none"/>
        </w:rPr>
      </w:pPr>
      <w:r>
        <w:rPr>
          <w:u w:val="single"/>
        </w:rPr>
        <w:t>RESOLUTION ON SANCTIONS AGAINST THE RACIST MINORITY</w:t>
      </w:r>
      <w:r>
        <w:rPr>
          <w:u w:val="none"/>
        </w:rPr>
        <w:t> </w:t>
      </w:r>
      <w:r>
        <w:rPr>
          <w:u w:val="single"/>
        </w:rPr>
        <w:t>REGIMES OF SOUTHERN AFRICA</w:t>
      </w:r>
    </w:p>
    <w:p>
      <w:pPr>
        <w:pStyle w:val="BodyText"/>
        <w:spacing w:before="6"/>
        <w:rPr>
          <w:b/>
          <w:sz w:val="24"/>
        </w:rPr>
      </w:pPr>
    </w:p>
    <w:p>
      <w:pPr>
        <w:pStyle w:val="BodyText"/>
        <w:spacing w:line="374" w:lineRule="auto" w:before="96"/>
        <w:ind w:left="171" w:right="110" w:firstLine="676"/>
        <w:jc w:val="both"/>
      </w:pPr>
      <w:r>
        <w:rPr/>
        <w:t>The Council of Ministers of the OAU meeting in its Thirty-First Ordinary Session in Khartoum, Democratic Republic of the Sudan, from 7 to 18 July 1978,</w:t>
      </w:r>
    </w:p>
    <w:p>
      <w:pPr>
        <w:pStyle w:val="BodyText"/>
        <w:spacing w:before="2"/>
        <w:rPr>
          <w:sz w:val="33"/>
        </w:rPr>
      </w:pPr>
    </w:p>
    <w:p>
      <w:pPr>
        <w:pStyle w:val="BodyText"/>
        <w:spacing w:line="369" w:lineRule="auto"/>
        <w:ind w:left="171" w:right="114" w:firstLine="676"/>
        <w:jc w:val="both"/>
      </w:pPr>
      <w:r>
        <w:rPr>
          <w:b/>
          <w:u w:val="single"/>
        </w:rPr>
        <w:t>Having</w:t>
      </w:r>
      <w:r>
        <w:rPr>
          <w:b/>
          <w:spacing w:val="40"/>
          <w:u w:val="single"/>
        </w:rPr>
        <w:t> </w:t>
      </w:r>
      <w:r>
        <w:rPr>
          <w:b/>
          <w:u w:val="single"/>
        </w:rPr>
        <w:t>taken</w:t>
      </w:r>
      <w:r>
        <w:rPr>
          <w:b/>
          <w:spacing w:val="40"/>
          <w:u w:val="single"/>
        </w:rPr>
        <w:t> </w:t>
      </w:r>
      <w:r>
        <w:rPr>
          <w:b/>
          <w:u w:val="single"/>
        </w:rPr>
        <w:t>note</w:t>
      </w:r>
      <w:r>
        <w:rPr>
          <w:b/>
          <w:spacing w:val="40"/>
          <w:u w:val="single"/>
        </w:rPr>
        <w:t> </w:t>
      </w:r>
      <w:r>
        <w:rPr>
          <w:b/>
          <w:u w:val="single"/>
        </w:rPr>
        <w:t>with</w:t>
      </w:r>
      <w:r>
        <w:rPr>
          <w:b/>
          <w:spacing w:val="40"/>
          <w:u w:val="single"/>
        </w:rPr>
        <w:t> </w:t>
      </w:r>
      <w:r>
        <w:rPr>
          <w:b/>
          <w:u w:val="single"/>
        </w:rPr>
        <w:t>satisfaction,</w:t>
      </w:r>
      <w:r>
        <w:rPr>
          <w:b/>
          <w:spacing w:val="40"/>
        </w:rPr>
        <w:t> </w:t>
      </w:r>
      <w:r>
        <w:rPr/>
        <w:t>of</w:t>
      </w:r>
      <w:r>
        <w:rPr>
          <w:spacing w:val="40"/>
        </w:rPr>
        <w:t> </w:t>
      </w:r>
      <w:r>
        <w:rPr/>
        <w:t>the</w:t>
      </w:r>
      <w:r>
        <w:rPr>
          <w:spacing w:val="40"/>
        </w:rPr>
        <w:t> </w:t>
      </w:r>
      <w:r>
        <w:rPr/>
        <w:t>report</w:t>
      </w:r>
      <w:r>
        <w:rPr>
          <w:spacing w:val="40"/>
        </w:rPr>
        <w:t> </w:t>
      </w:r>
      <w:r>
        <w:rPr/>
        <w:t>CM/882</w:t>
      </w:r>
      <w:r>
        <w:rPr>
          <w:spacing w:val="40"/>
        </w:rPr>
        <w:t> </w:t>
      </w:r>
      <w:r>
        <w:rPr/>
        <w:t>(XXXI)</w:t>
      </w:r>
      <w:r>
        <w:rPr>
          <w:spacing w:val="40"/>
        </w:rPr>
        <w:t> </w:t>
      </w:r>
      <w:r>
        <w:rPr/>
        <w:t>of</w:t>
      </w:r>
      <w:r>
        <w:rPr>
          <w:spacing w:val="40"/>
        </w:rPr>
        <w:t> </w:t>
      </w:r>
      <w:r>
        <w:rPr/>
        <w:t>the Administrative Secretary-General on the applications of sanctions against the racist minority regimes of Southern Africa,</w:t>
      </w:r>
    </w:p>
    <w:p>
      <w:pPr>
        <w:pStyle w:val="BodyText"/>
        <w:spacing w:before="7"/>
        <w:rPr>
          <w:sz w:val="33"/>
        </w:rPr>
      </w:pPr>
    </w:p>
    <w:p>
      <w:pPr>
        <w:pStyle w:val="BodyText"/>
        <w:spacing w:line="369" w:lineRule="auto"/>
        <w:ind w:left="171" w:right="120" w:firstLine="676"/>
        <w:jc w:val="both"/>
      </w:pPr>
      <w:r>
        <w:rPr>
          <w:b/>
          <w:u w:val="single"/>
        </w:rPr>
        <w:t>Recalling</w:t>
      </w:r>
      <w:r>
        <w:rPr>
          <w:b/>
        </w:rPr>
        <w:t> </w:t>
      </w:r>
      <w:r>
        <w:rPr/>
        <w:t>the numerous resolutions already adopted against all forms of cooperation with the racist regimes of Salisbury and Pretoria,</w:t>
      </w:r>
    </w:p>
    <w:p>
      <w:pPr>
        <w:pStyle w:val="BodyText"/>
        <w:spacing w:before="1"/>
        <w:rPr>
          <w:sz w:val="34"/>
        </w:rPr>
      </w:pPr>
    </w:p>
    <w:p>
      <w:pPr>
        <w:pStyle w:val="BodyText"/>
        <w:spacing w:line="367" w:lineRule="auto"/>
        <w:ind w:left="171" w:right="114" w:firstLine="676"/>
        <w:jc w:val="both"/>
      </w:pPr>
      <w:r>
        <w:rPr>
          <w:b/>
          <w:u w:val="single"/>
        </w:rPr>
        <w:t>Gravely</w:t>
      </w:r>
      <w:r>
        <w:rPr>
          <w:b/>
          <w:spacing w:val="40"/>
          <w:u w:val="single"/>
        </w:rPr>
        <w:t> </w:t>
      </w:r>
      <w:r>
        <w:rPr>
          <w:b/>
          <w:u w:val="single"/>
        </w:rPr>
        <w:t>concerned</w:t>
      </w:r>
      <w:r>
        <w:rPr>
          <w:b/>
          <w:spacing w:val="40"/>
        </w:rPr>
        <w:t> </w:t>
      </w:r>
      <w:r>
        <w:rPr/>
        <w:t>by</w:t>
      </w:r>
      <w:r>
        <w:rPr>
          <w:spacing w:val="40"/>
        </w:rPr>
        <w:t> </w:t>
      </w:r>
      <w:r>
        <w:rPr/>
        <w:t>the</w:t>
      </w:r>
      <w:r>
        <w:rPr>
          <w:spacing w:val="40"/>
        </w:rPr>
        <w:t> </w:t>
      </w:r>
      <w:r>
        <w:rPr/>
        <w:t>continuing</w:t>
      </w:r>
      <w:r>
        <w:rPr>
          <w:spacing w:val="40"/>
        </w:rPr>
        <w:t> </w:t>
      </w:r>
      <w:r>
        <w:rPr/>
        <w:t>political,</w:t>
      </w:r>
      <w:r>
        <w:rPr>
          <w:spacing w:val="40"/>
        </w:rPr>
        <w:t> </w:t>
      </w:r>
      <w:r>
        <w:rPr/>
        <w:t>economic,</w:t>
      </w:r>
      <w:r>
        <w:rPr>
          <w:spacing w:val="40"/>
        </w:rPr>
        <w:t> </w:t>
      </w:r>
      <w:r>
        <w:rPr/>
        <w:t>military,</w:t>
      </w:r>
      <w:r>
        <w:rPr>
          <w:spacing w:val="40"/>
        </w:rPr>
        <w:t> </w:t>
      </w:r>
      <w:r>
        <w:rPr/>
        <w:t>sporting</w:t>
      </w:r>
      <w:r>
        <w:rPr>
          <w:spacing w:val="40"/>
        </w:rPr>
        <w:t> </w:t>
      </w:r>
      <w:r>
        <w:rPr/>
        <w:t>and violations</w:t>
      </w:r>
      <w:r>
        <w:rPr>
          <w:spacing w:val="40"/>
        </w:rPr>
        <w:t> </w:t>
      </w:r>
      <w:r>
        <w:rPr/>
        <w:t>of</w:t>
      </w:r>
      <w:r>
        <w:rPr>
          <w:spacing w:val="40"/>
        </w:rPr>
        <w:t> </w:t>
      </w:r>
      <w:r>
        <w:rPr/>
        <w:t>other</w:t>
      </w:r>
      <w:r>
        <w:rPr>
          <w:spacing w:val="40"/>
        </w:rPr>
        <w:t> </w:t>
      </w:r>
      <w:r>
        <w:rPr/>
        <w:t>sanctions</w:t>
      </w:r>
      <w:r>
        <w:rPr>
          <w:spacing w:val="40"/>
        </w:rPr>
        <w:t> </w:t>
      </w:r>
      <w:r>
        <w:rPr/>
        <w:t>by</w:t>
      </w:r>
      <w:r>
        <w:rPr>
          <w:spacing w:val="40"/>
        </w:rPr>
        <w:t> </w:t>
      </w:r>
      <w:r>
        <w:rPr/>
        <w:t>certain</w:t>
      </w:r>
      <w:r>
        <w:rPr>
          <w:spacing w:val="40"/>
        </w:rPr>
        <w:t> </w:t>
      </w:r>
      <w:r>
        <w:rPr/>
        <w:t>countries</w:t>
      </w:r>
      <w:r>
        <w:rPr>
          <w:spacing w:val="40"/>
        </w:rPr>
        <w:t> </w:t>
      </w:r>
      <w:r>
        <w:rPr/>
        <w:t>to</w:t>
      </w:r>
      <w:r>
        <w:rPr>
          <w:spacing w:val="40"/>
        </w:rPr>
        <w:t> </w:t>
      </w:r>
      <w:r>
        <w:rPr/>
        <w:t>the</w:t>
      </w:r>
      <w:r>
        <w:rPr>
          <w:spacing w:val="40"/>
        </w:rPr>
        <w:t> </w:t>
      </w:r>
      <w:r>
        <w:rPr/>
        <w:t>advantage</w:t>
      </w:r>
      <w:r>
        <w:rPr>
          <w:spacing w:val="40"/>
        </w:rPr>
        <w:t> </w:t>
      </w:r>
      <w:r>
        <w:rPr/>
        <w:t>of</w:t>
      </w:r>
      <w:r>
        <w:rPr>
          <w:spacing w:val="40"/>
        </w:rPr>
        <w:t> </w:t>
      </w:r>
      <w:r>
        <w:rPr/>
        <w:t>the</w:t>
      </w:r>
      <w:r>
        <w:rPr>
          <w:spacing w:val="40"/>
        </w:rPr>
        <w:t> </w:t>
      </w:r>
      <w:r>
        <w:rPr/>
        <w:t>racist</w:t>
      </w:r>
      <w:r>
        <w:rPr>
          <w:spacing w:val="40"/>
        </w:rPr>
        <w:t> </w:t>
      </w:r>
      <w:r>
        <w:rPr/>
        <w:t>regimes</w:t>
      </w:r>
      <w:r>
        <w:rPr>
          <w:spacing w:val="40"/>
        </w:rPr>
        <w:t> </w:t>
      </w:r>
      <w:r>
        <w:rPr/>
        <w:t>of Southern Africa,</w:t>
      </w:r>
    </w:p>
    <w:p>
      <w:pPr>
        <w:pStyle w:val="BodyText"/>
        <w:spacing w:before="3"/>
        <w:rPr>
          <w:sz w:val="34"/>
        </w:rPr>
      </w:pPr>
    </w:p>
    <w:p>
      <w:pPr>
        <w:pStyle w:val="BodyText"/>
        <w:spacing w:line="369" w:lineRule="auto"/>
        <w:ind w:left="171" w:right="113" w:firstLine="676"/>
        <w:jc w:val="both"/>
      </w:pPr>
      <w:r>
        <w:rPr>
          <w:b/>
          <w:u w:val="single"/>
        </w:rPr>
        <w:t>Convinced</w:t>
      </w:r>
      <w:r>
        <w:rPr>
          <w:b/>
          <w:spacing w:val="40"/>
        </w:rPr>
        <w:t> </w:t>
      </w:r>
      <w:r>
        <w:rPr/>
        <w:t>that</w:t>
      </w:r>
      <w:r>
        <w:rPr>
          <w:spacing w:val="40"/>
        </w:rPr>
        <w:t> </w:t>
      </w:r>
      <w:r>
        <w:rPr/>
        <w:t>the</w:t>
      </w:r>
      <w:r>
        <w:rPr>
          <w:spacing w:val="40"/>
        </w:rPr>
        <w:t> </w:t>
      </w:r>
      <w:r>
        <w:rPr/>
        <w:t>total</w:t>
      </w:r>
      <w:r>
        <w:rPr>
          <w:spacing w:val="40"/>
        </w:rPr>
        <w:t> </w:t>
      </w:r>
      <w:r>
        <w:rPr/>
        <w:t>isolation</w:t>
      </w:r>
      <w:r>
        <w:rPr>
          <w:spacing w:val="40"/>
        </w:rPr>
        <w:t> </w:t>
      </w:r>
      <w:r>
        <w:rPr/>
        <w:t>of</w:t>
      </w:r>
      <w:r>
        <w:rPr>
          <w:spacing w:val="40"/>
        </w:rPr>
        <w:t> </w:t>
      </w:r>
      <w:r>
        <w:rPr/>
        <w:t>the</w:t>
      </w:r>
      <w:r>
        <w:rPr>
          <w:spacing w:val="40"/>
        </w:rPr>
        <w:t> </w:t>
      </w:r>
      <w:r>
        <w:rPr/>
        <w:t>white</w:t>
      </w:r>
      <w:r>
        <w:rPr>
          <w:spacing w:val="40"/>
        </w:rPr>
        <w:t> </w:t>
      </w:r>
      <w:r>
        <w:rPr/>
        <w:t>minority</w:t>
      </w:r>
      <w:r>
        <w:rPr>
          <w:spacing w:val="40"/>
        </w:rPr>
        <w:t> </w:t>
      </w:r>
      <w:r>
        <w:rPr/>
        <w:t>regimes</w:t>
      </w:r>
      <w:r>
        <w:rPr>
          <w:spacing w:val="40"/>
        </w:rPr>
        <w:t> </w:t>
      </w:r>
      <w:r>
        <w:rPr/>
        <w:t>of</w:t>
      </w:r>
      <w:r>
        <w:rPr>
          <w:spacing w:val="40"/>
        </w:rPr>
        <w:t> </w:t>
      </w:r>
      <w:r>
        <w:rPr/>
        <w:t>Southern</w:t>
      </w:r>
      <w:r>
        <w:rPr>
          <w:spacing w:val="40"/>
        </w:rPr>
        <w:t> </w:t>
      </w:r>
      <w:r>
        <w:rPr/>
        <w:t>Africa would decisively contribute towards the collapse of these regimes,</w:t>
      </w:r>
    </w:p>
    <w:p>
      <w:pPr>
        <w:pStyle w:val="BodyText"/>
        <w:spacing w:before="8"/>
        <w:rPr>
          <w:sz w:val="33"/>
        </w:rPr>
      </w:pPr>
    </w:p>
    <w:p>
      <w:pPr>
        <w:pStyle w:val="BodyText"/>
        <w:spacing w:line="369" w:lineRule="auto"/>
        <w:ind w:left="171" w:right="128" w:firstLine="676"/>
        <w:jc w:val="both"/>
      </w:pPr>
      <w:r>
        <w:rPr>
          <w:b/>
          <w:u w:val="single"/>
        </w:rPr>
        <w:t>Considering</w:t>
      </w:r>
      <w:r>
        <w:rPr>
          <w:b/>
        </w:rPr>
        <w:t> </w:t>
      </w:r>
      <w:r>
        <w:rPr/>
        <w:t>the imperative necessity for OAU Member States of ensuring the regroups application of mandatory sanctions against these regimes</w:t>
      </w:r>
    </w:p>
    <w:p>
      <w:pPr>
        <w:pStyle w:val="BodyText"/>
        <w:spacing w:before="8"/>
        <w:rPr>
          <w:sz w:val="33"/>
        </w:rPr>
      </w:pPr>
    </w:p>
    <w:p>
      <w:pPr>
        <w:pStyle w:val="ListParagraph"/>
        <w:numPr>
          <w:ilvl w:val="0"/>
          <w:numId w:val="1"/>
        </w:numPr>
        <w:tabs>
          <w:tab w:pos="1185" w:val="left" w:leader="none"/>
        </w:tabs>
        <w:spacing w:line="374" w:lineRule="auto" w:before="0" w:after="0"/>
        <w:ind w:left="1184" w:right="113" w:hanging="336"/>
        <w:jc w:val="both"/>
        <w:rPr>
          <w:sz w:val="22"/>
        </w:rPr>
      </w:pPr>
      <w:r>
        <w:rPr>
          <w:b/>
          <w:sz w:val="22"/>
        </w:rPr>
        <w:t>CONDEMNS</w:t>
      </w:r>
      <w:r>
        <w:rPr>
          <w:sz w:val="22"/>
        </w:rPr>
        <w:t>, once again, all the countries that collaborate with the regimes of</w:t>
      </w:r>
      <w:r>
        <w:rPr>
          <w:spacing w:val="40"/>
          <w:sz w:val="22"/>
        </w:rPr>
        <w:t> </w:t>
      </w:r>
      <w:r>
        <w:rPr>
          <w:sz w:val="22"/>
        </w:rPr>
        <w:t>Pretoria and Salisbury;</w:t>
      </w:r>
    </w:p>
    <w:p>
      <w:pPr>
        <w:pStyle w:val="BodyText"/>
        <w:spacing w:before="9"/>
        <w:rPr>
          <w:sz w:val="32"/>
        </w:rPr>
      </w:pPr>
    </w:p>
    <w:p>
      <w:pPr>
        <w:pStyle w:val="ListParagraph"/>
        <w:numPr>
          <w:ilvl w:val="0"/>
          <w:numId w:val="1"/>
        </w:numPr>
        <w:tabs>
          <w:tab w:pos="1185" w:val="left" w:leader="none"/>
        </w:tabs>
        <w:spacing w:line="369" w:lineRule="auto" w:before="0" w:after="0"/>
        <w:ind w:left="1184" w:right="121" w:hanging="336"/>
        <w:jc w:val="both"/>
        <w:rPr>
          <w:sz w:val="22"/>
        </w:rPr>
      </w:pPr>
      <w:r>
        <w:rPr>
          <w:b/>
          <w:sz w:val="22"/>
        </w:rPr>
        <w:t>CONDEMNS </w:t>
      </w:r>
      <w:r>
        <w:rPr>
          <w:sz w:val="22"/>
        </w:rPr>
        <w:t>the zionist regime of Israel for its economic, commercial, military and technological relations with the racist regime of South Africa;</w:t>
      </w:r>
    </w:p>
    <w:p>
      <w:pPr>
        <w:pStyle w:val="BodyText"/>
        <w:spacing w:before="1"/>
        <w:rPr>
          <w:sz w:val="34"/>
        </w:rPr>
      </w:pPr>
    </w:p>
    <w:p>
      <w:pPr>
        <w:pStyle w:val="ListParagraph"/>
        <w:numPr>
          <w:ilvl w:val="0"/>
          <w:numId w:val="1"/>
        </w:numPr>
        <w:tabs>
          <w:tab w:pos="1185" w:val="left" w:leader="none"/>
        </w:tabs>
        <w:spacing w:line="367" w:lineRule="auto" w:before="0" w:after="0"/>
        <w:ind w:left="1184" w:right="113" w:hanging="336"/>
        <w:jc w:val="both"/>
        <w:rPr>
          <w:sz w:val="22"/>
        </w:rPr>
      </w:pPr>
      <w:r>
        <w:rPr>
          <w:b/>
          <w:sz w:val="22"/>
        </w:rPr>
        <w:t>APPEALS</w:t>
      </w:r>
      <w:r>
        <w:rPr>
          <w:b/>
          <w:spacing w:val="39"/>
          <w:sz w:val="22"/>
        </w:rPr>
        <w:t> </w:t>
      </w:r>
      <w:r>
        <w:rPr>
          <w:sz w:val="22"/>
        </w:rPr>
        <w:t>to</w:t>
      </w:r>
      <w:r>
        <w:rPr>
          <w:spacing w:val="25"/>
          <w:sz w:val="22"/>
        </w:rPr>
        <w:t> </w:t>
      </w:r>
      <w:r>
        <w:rPr>
          <w:sz w:val="22"/>
        </w:rPr>
        <w:t>all</w:t>
      </w:r>
      <w:r>
        <w:rPr>
          <w:spacing w:val="25"/>
          <w:sz w:val="22"/>
        </w:rPr>
        <w:t> </w:t>
      </w:r>
      <w:r>
        <w:rPr>
          <w:sz w:val="22"/>
        </w:rPr>
        <w:t>countries</w:t>
      </w:r>
      <w:r>
        <w:rPr>
          <w:spacing w:val="25"/>
          <w:sz w:val="22"/>
        </w:rPr>
        <w:t> </w:t>
      </w:r>
      <w:r>
        <w:rPr>
          <w:sz w:val="22"/>
        </w:rPr>
        <w:t>especially</w:t>
      </w:r>
      <w:r>
        <w:rPr>
          <w:spacing w:val="25"/>
          <w:sz w:val="22"/>
        </w:rPr>
        <w:t> </w:t>
      </w:r>
      <w:r>
        <w:rPr>
          <w:sz w:val="22"/>
        </w:rPr>
        <w:t>the</w:t>
      </w:r>
      <w:r>
        <w:rPr>
          <w:spacing w:val="25"/>
          <w:sz w:val="22"/>
        </w:rPr>
        <w:t> </w:t>
      </w:r>
      <w:r>
        <w:rPr>
          <w:sz w:val="22"/>
        </w:rPr>
        <w:t>Western</w:t>
      </w:r>
      <w:r>
        <w:rPr>
          <w:spacing w:val="27"/>
          <w:sz w:val="22"/>
        </w:rPr>
        <w:t> </w:t>
      </w:r>
      <w:r>
        <w:rPr>
          <w:sz w:val="22"/>
        </w:rPr>
        <w:t>countries</w:t>
      </w:r>
      <w:r>
        <w:rPr>
          <w:spacing w:val="25"/>
          <w:sz w:val="22"/>
        </w:rPr>
        <w:t> </w:t>
      </w:r>
      <w:r>
        <w:rPr>
          <w:sz w:val="22"/>
        </w:rPr>
        <w:t>of</w:t>
      </w:r>
      <w:r>
        <w:rPr>
          <w:spacing w:val="25"/>
          <w:sz w:val="22"/>
        </w:rPr>
        <w:t> </w:t>
      </w:r>
      <w:r>
        <w:rPr>
          <w:sz w:val="22"/>
        </w:rPr>
        <w:t>Europe,</w:t>
      </w:r>
      <w:r>
        <w:rPr>
          <w:spacing w:val="27"/>
          <w:sz w:val="22"/>
        </w:rPr>
        <w:t> </w:t>
      </w:r>
      <w:r>
        <w:rPr>
          <w:sz w:val="22"/>
        </w:rPr>
        <w:t>and</w:t>
      </w:r>
      <w:r>
        <w:rPr>
          <w:spacing w:val="27"/>
          <w:sz w:val="22"/>
        </w:rPr>
        <w:t> </w:t>
      </w:r>
      <w:r>
        <w:rPr>
          <w:sz w:val="22"/>
        </w:rPr>
        <w:t>America as well as Japan to break off their economic and commercial relations with the Apartheid regime of South Africa and the rebel regime of Southern Rhodesia;</w:t>
      </w:r>
    </w:p>
    <w:p>
      <w:pPr>
        <w:pStyle w:val="BodyText"/>
        <w:spacing w:before="3"/>
        <w:rPr>
          <w:sz w:val="34"/>
        </w:rPr>
      </w:pPr>
    </w:p>
    <w:p>
      <w:pPr>
        <w:pStyle w:val="ListParagraph"/>
        <w:numPr>
          <w:ilvl w:val="0"/>
          <w:numId w:val="1"/>
        </w:numPr>
        <w:tabs>
          <w:tab w:pos="1185" w:val="left" w:leader="none"/>
        </w:tabs>
        <w:spacing w:line="369" w:lineRule="auto" w:before="0" w:after="0"/>
        <w:ind w:left="1184" w:right="115" w:hanging="336"/>
        <w:jc w:val="both"/>
        <w:rPr>
          <w:sz w:val="22"/>
        </w:rPr>
      </w:pPr>
      <w:r>
        <w:rPr>
          <w:b/>
          <w:sz w:val="22"/>
        </w:rPr>
        <w:t>COMMENDS </w:t>
      </w:r>
      <w:r>
        <w:rPr>
          <w:sz w:val="22"/>
        </w:rPr>
        <w:t>the governments which have taken action against multinational corporations collaborating with the racist regimes in Southern Africa;</w:t>
      </w:r>
    </w:p>
    <w:p>
      <w:pPr>
        <w:spacing w:after="0" w:line="369" w:lineRule="auto"/>
        <w:jc w:val="both"/>
        <w:rPr>
          <w:sz w:val="22"/>
        </w:rPr>
        <w:sectPr>
          <w:headerReference w:type="default" r:id="rId5"/>
          <w:type w:val="continuous"/>
          <w:pgSz w:w="12240" w:h="15840"/>
          <w:pgMar w:header="701" w:footer="0" w:top="1260" w:bottom="280" w:left="1720" w:right="1440"/>
          <w:pgNumType w:start="1"/>
        </w:sectPr>
      </w:pPr>
    </w:p>
    <w:p>
      <w:pPr>
        <w:pStyle w:val="ListParagraph"/>
        <w:numPr>
          <w:ilvl w:val="0"/>
          <w:numId w:val="1"/>
        </w:numPr>
        <w:tabs>
          <w:tab w:pos="1185" w:val="left" w:leader="none"/>
        </w:tabs>
        <w:spacing w:line="369" w:lineRule="auto" w:before="85" w:after="0"/>
        <w:ind w:left="1184" w:right="113" w:hanging="336"/>
        <w:jc w:val="both"/>
        <w:rPr>
          <w:sz w:val="22"/>
        </w:rPr>
      </w:pPr>
      <w:r>
        <w:rPr>
          <w:b/>
          <w:sz w:val="22"/>
        </w:rPr>
        <w:t>REQUESTS </w:t>
      </w:r>
      <w:r>
        <w:rPr>
          <w:sz w:val="22"/>
        </w:rPr>
        <w:t>the African Member States of the Organization of Petroleum Exporting Countries</w:t>
      </w:r>
      <w:r>
        <w:rPr>
          <w:spacing w:val="40"/>
          <w:sz w:val="22"/>
        </w:rPr>
        <w:t> </w:t>
      </w:r>
      <w:r>
        <w:rPr>
          <w:sz w:val="22"/>
        </w:rPr>
        <w:t>to</w:t>
      </w:r>
      <w:r>
        <w:rPr>
          <w:spacing w:val="40"/>
          <w:sz w:val="22"/>
        </w:rPr>
        <w:t> </w:t>
      </w:r>
      <w:r>
        <w:rPr>
          <w:sz w:val="22"/>
        </w:rPr>
        <w:t>take</w:t>
      </w:r>
      <w:r>
        <w:rPr>
          <w:spacing w:val="40"/>
          <w:sz w:val="22"/>
        </w:rPr>
        <w:t> </w:t>
      </w:r>
      <w:r>
        <w:rPr>
          <w:sz w:val="22"/>
        </w:rPr>
        <w:t>the</w:t>
      </w:r>
      <w:r>
        <w:rPr>
          <w:spacing w:val="40"/>
          <w:sz w:val="22"/>
        </w:rPr>
        <w:t> </w:t>
      </w:r>
      <w:r>
        <w:rPr>
          <w:sz w:val="22"/>
        </w:rPr>
        <w:t>necessary</w:t>
      </w:r>
      <w:r>
        <w:rPr>
          <w:spacing w:val="40"/>
          <w:sz w:val="22"/>
        </w:rPr>
        <w:t> </w:t>
      </w:r>
      <w:r>
        <w:rPr>
          <w:sz w:val="22"/>
        </w:rPr>
        <w:t>initiatives</w:t>
      </w:r>
      <w:r>
        <w:rPr>
          <w:spacing w:val="40"/>
          <w:sz w:val="22"/>
        </w:rPr>
        <w:t> </w:t>
      </w:r>
      <w:r>
        <w:rPr>
          <w:sz w:val="22"/>
        </w:rPr>
        <w:t>in</w:t>
      </w:r>
      <w:r>
        <w:rPr>
          <w:spacing w:val="40"/>
          <w:sz w:val="22"/>
        </w:rPr>
        <w:t> </w:t>
      </w:r>
      <w:r>
        <w:rPr>
          <w:sz w:val="22"/>
        </w:rPr>
        <w:t>the</w:t>
      </w:r>
      <w:r>
        <w:rPr>
          <w:spacing w:val="40"/>
          <w:sz w:val="22"/>
        </w:rPr>
        <w:t> </w:t>
      </w:r>
      <w:r>
        <w:rPr>
          <w:sz w:val="22"/>
        </w:rPr>
        <w:t>OPEC</w:t>
      </w:r>
      <w:r>
        <w:rPr>
          <w:spacing w:val="40"/>
          <w:sz w:val="22"/>
        </w:rPr>
        <w:t> </w:t>
      </w:r>
      <w:r>
        <w:rPr>
          <w:sz w:val="22"/>
        </w:rPr>
        <w:t>towards</w:t>
      </w:r>
      <w:r>
        <w:rPr>
          <w:spacing w:val="40"/>
          <w:sz w:val="22"/>
        </w:rPr>
        <w:t> </w:t>
      </w:r>
      <w:r>
        <w:rPr>
          <w:sz w:val="22"/>
        </w:rPr>
        <w:t>an</w:t>
      </w:r>
      <w:r>
        <w:rPr>
          <w:spacing w:val="40"/>
          <w:sz w:val="22"/>
        </w:rPr>
        <w:t> </w:t>
      </w:r>
      <w:r>
        <w:rPr>
          <w:sz w:val="22"/>
        </w:rPr>
        <w:t>oil</w:t>
      </w:r>
      <w:r>
        <w:rPr>
          <w:spacing w:val="40"/>
          <w:sz w:val="22"/>
        </w:rPr>
        <w:t> </w:t>
      </w:r>
      <w:r>
        <w:rPr>
          <w:sz w:val="22"/>
        </w:rPr>
        <w:t>embargo against South Africa;</w:t>
      </w:r>
    </w:p>
    <w:p>
      <w:pPr>
        <w:pStyle w:val="BodyText"/>
        <w:spacing w:before="7"/>
        <w:rPr>
          <w:sz w:val="33"/>
        </w:rPr>
      </w:pPr>
    </w:p>
    <w:p>
      <w:pPr>
        <w:pStyle w:val="ListParagraph"/>
        <w:numPr>
          <w:ilvl w:val="0"/>
          <w:numId w:val="1"/>
        </w:numPr>
        <w:tabs>
          <w:tab w:pos="1185" w:val="left" w:leader="none"/>
        </w:tabs>
        <w:spacing w:line="369" w:lineRule="auto" w:before="0" w:after="0"/>
        <w:ind w:left="1183" w:right="108" w:hanging="336"/>
        <w:jc w:val="both"/>
        <w:rPr>
          <w:sz w:val="22"/>
        </w:rPr>
      </w:pPr>
      <w:r>
        <w:rPr>
          <w:b/>
          <w:sz w:val="22"/>
        </w:rPr>
        <w:t>CALLS </w:t>
      </w:r>
      <w:r>
        <w:rPr>
          <w:sz w:val="22"/>
        </w:rPr>
        <w:t>for the strengthening of the United Nations Special Committee Against Apartheid and the Centre Against Apartheid in order to enable them more effectively discharge their responsibilities in this crucial period;</w:t>
      </w:r>
    </w:p>
    <w:p>
      <w:pPr>
        <w:pStyle w:val="BodyText"/>
        <w:spacing w:before="7"/>
        <w:rPr>
          <w:sz w:val="33"/>
        </w:rPr>
      </w:pPr>
    </w:p>
    <w:p>
      <w:pPr>
        <w:pStyle w:val="ListParagraph"/>
        <w:numPr>
          <w:ilvl w:val="0"/>
          <w:numId w:val="1"/>
        </w:numPr>
        <w:tabs>
          <w:tab w:pos="1185" w:val="left" w:leader="none"/>
        </w:tabs>
        <w:spacing w:line="369" w:lineRule="auto" w:before="0" w:after="0"/>
        <w:ind w:left="1183" w:right="121" w:hanging="336"/>
        <w:jc w:val="both"/>
        <w:rPr>
          <w:sz w:val="22"/>
        </w:rPr>
      </w:pPr>
      <w:r>
        <w:rPr>
          <w:b/>
          <w:sz w:val="22"/>
        </w:rPr>
        <w:t>REQUESTS </w:t>
      </w:r>
      <w:r>
        <w:rPr>
          <w:sz w:val="22"/>
        </w:rPr>
        <w:t>the OAU Standing Committee on Sanctions just created to look into the special circumstances affecting certain individual states of Southern Africa and Cape Verde within the context of the application of sanctions;</w:t>
      </w:r>
    </w:p>
    <w:p>
      <w:pPr>
        <w:pStyle w:val="BodyText"/>
        <w:rPr>
          <w:sz w:val="34"/>
        </w:rPr>
      </w:pPr>
    </w:p>
    <w:p>
      <w:pPr>
        <w:pStyle w:val="ListParagraph"/>
        <w:numPr>
          <w:ilvl w:val="0"/>
          <w:numId w:val="1"/>
        </w:numPr>
        <w:tabs>
          <w:tab w:pos="1185" w:val="left" w:leader="none"/>
        </w:tabs>
        <w:spacing w:line="369" w:lineRule="auto" w:before="1" w:after="0"/>
        <w:ind w:left="1183" w:right="118" w:hanging="336"/>
        <w:jc w:val="both"/>
        <w:rPr>
          <w:sz w:val="22"/>
        </w:rPr>
      </w:pPr>
      <w:r>
        <w:rPr>
          <w:b/>
          <w:sz w:val="22"/>
        </w:rPr>
        <w:t>RECOMMENDS </w:t>
      </w:r>
      <w:r>
        <w:rPr>
          <w:sz w:val="22"/>
        </w:rPr>
        <w:t>the convocation, as soon as possible, of the meeting of aeronautics experts in conformity with Resolution CM/Res. 473 (XXVII).</w:t>
      </w:r>
    </w:p>
    <w:sectPr>
      <w:pgSz w:w="12240" w:h="15840"/>
      <w:pgMar w:header="701" w:footer="0" w:top="126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8.279999pt;margin-top:34.068241pt;width:101.55pt;height:14.5pt;mso-position-horizontal-relative:page;mso-position-vertical-relative:page;z-index:-15760384" type="#_x0000_t202" id="docshape1" filled="false" stroked="false">
          <v:textbox inset="0,0,0,0">
            <w:txbxContent>
              <w:p>
                <w:pPr>
                  <w:pStyle w:val="BodyText"/>
                  <w:spacing w:before="15"/>
                  <w:ind w:left="20"/>
                </w:pPr>
                <w:r>
                  <w:rPr/>
                  <w:t>CM/Res.</w:t>
                </w:r>
                <w:r>
                  <w:rPr>
                    <w:spacing w:val="24"/>
                  </w:rPr>
                  <w:t> </w:t>
                </w:r>
                <w:r>
                  <w:rPr/>
                  <w:t>623</w:t>
                </w:r>
                <w:r>
                  <w:rPr>
                    <w:spacing w:val="25"/>
                  </w:rPr>
                  <w:t> </w:t>
                </w:r>
                <w:r>
                  <w:rPr>
                    <w:spacing w:val="-2"/>
                  </w:rPr>
                  <w:t>(XXXI)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970" w:hanging="337"/>
      </w:pPr>
      <w:rPr>
        <w:rFonts w:hint="default"/>
        <w:lang w:val="en-US" w:eastAsia="en-US" w:bidi="ar-SA"/>
      </w:rPr>
    </w:lvl>
    <w:lvl w:ilvl="2">
      <w:start w:val="0"/>
      <w:numFmt w:val="bullet"/>
      <w:lvlText w:val="•"/>
      <w:lvlJc w:val="left"/>
      <w:pPr>
        <w:ind w:left="2760" w:hanging="337"/>
      </w:pPr>
      <w:rPr>
        <w:rFonts w:hint="default"/>
        <w:lang w:val="en-US" w:eastAsia="en-US" w:bidi="ar-SA"/>
      </w:rPr>
    </w:lvl>
    <w:lvl w:ilvl="3">
      <w:start w:val="0"/>
      <w:numFmt w:val="bullet"/>
      <w:lvlText w:val="•"/>
      <w:lvlJc w:val="left"/>
      <w:pPr>
        <w:ind w:left="3550" w:hanging="337"/>
      </w:pPr>
      <w:rPr>
        <w:rFonts w:hint="default"/>
        <w:lang w:val="en-US" w:eastAsia="en-US" w:bidi="ar-SA"/>
      </w:rPr>
    </w:lvl>
    <w:lvl w:ilvl="4">
      <w:start w:val="0"/>
      <w:numFmt w:val="bullet"/>
      <w:lvlText w:val="•"/>
      <w:lvlJc w:val="left"/>
      <w:pPr>
        <w:ind w:left="4340" w:hanging="337"/>
      </w:pPr>
      <w:rPr>
        <w:rFonts w:hint="default"/>
        <w:lang w:val="en-US" w:eastAsia="en-US" w:bidi="ar-SA"/>
      </w:rPr>
    </w:lvl>
    <w:lvl w:ilvl="5">
      <w:start w:val="0"/>
      <w:numFmt w:val="bullet"/>
      <w:lvlText w:val="•"/>
      <w:lvlJc w:val="left"/>
      <w:pPr>
        <w:ind w:left="5130" w:hanging="337"/>
      </w:pPr>
      <w:rPr>
        <w:rFonts w:hint="default"/>
        <w:lang w:val="en-US" w:eastAsia="en-US" w:bidi="ar-SA"/>
      </w:rPr>
    </w:lvl>
    <w:lvl w:ilvl="6">
      <w:start w:val="0"/>
      <w:numFmt w:val="bullet"/>
      <w:lvlText w:val="•"/>
      <w:lvlJc w:val="left"/>
      <w:pPr>
        <w:ind w:left="5920" w:hanging="337"/>
      </w:pPr>
      <w:rPr>
        <w:rFonts w:hint="default"/>
        <w:lang w:val="en-US" w:eastAsia="en-US" w:bidi="ar-SA"/>
      </w:rPr>
    </w:lvl>
    <w:lvl w:ilvl="7">
      <w:start w:val="0"/>
      <w:numFmt w:val="bullet"/>
      <w:lvlText w:val="•"/>
      <w:lvlJc w:val="left"/>
      <w:pPr>
        <w:ind w:left="6710" w:hanging="337"/>
      </w:pPr>
      <w:rPr>
        <w:rFonts w:hint="default"/>
        <w:lang w:val="en-US" w:eastAsia="en-US" w:bidi="ar-SA"/>
      </w:rPr>
    </w:lvl>
    <w:lvl w:ilvl="8">
      <w:start w:val="0"/>
      <w:numFmt w:val="bullet"/>
      <w:lvlText w:val="•"/>
      <w:lvlJc w:val="left"/>
      <w:pPr>
        <w:ind w:left="7500"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2729" w:right="134" w:hanging="1685"/>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13"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2023-06-07T08:55:47Z</dcterms:created>
  <dcterms:modified xsi:type="dcterms:W3CDTF">2023-06-07T08:55:47Z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