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spacing w:val="-2"/>
          <w:u w:val="single"/>
        </w:rPr>
        <w:t>RESOLUTION</w:t>
      </w:r>
    </w:p>
    <w:p>
      <w:pPr>
        <w:pStyle w:val="Title"/>
        <w:spacing w:before="136"/>
        <w:ind w:right="2949"/>
        <w:rPr>
          <w:u w:val="none"/>
        </w:rPr>
      </w:pPr>
      <w:r>
        <w:rPr>
          <w:u w:val="single"/>
        </w:rPr>
        <w:t>ON</w:t>
      </w:r>
      <w:r>
        <w:rPr>
          <w:spacing w:val="6"/>
          <w:u w:val="single"/>
        </w:rPr>
        <w:t> </w:t>
      </w:r>
      <w:r>
        <w:rPr>
          <w:u w:val="single"/>
        </w:rPr>
        <w:t>THE</w:t>
      </w:r>
      <w:r>
        <w:rPr>
          <w:spacing w:val="7"/>
          <w:u w:val="single"/>
        </w:rPr>
        <w:t> </w:t>
      </w:r>
      <w:r>
        <w:rPr>
          <w:u w:val="single"/>
        </w:rPr>
        <w:t>PALESTINIAN</w:t>
      </w:r>
      <w:r>
        <w:rPr>
          <w:spacing w:val="6"/>
          <w:u w:val="single"/>
        </w:rPr>
        <w:t> </w:t>
      </w:r>
      <w:r>
        <w:rPr>
          <w:spacing w:val="-2"/>
          <w:u w:val="single"/>
        </w:rPr>
        <w:t>ISSUE</w:t>
      </w:r>
    </w:p>
    <w:p>
      <w:pPr>
        <w:pStyle w:val="BodyText"/>
        <w:rPr>
          <w:b/>
          <w:sz w:val="20"/>
        </w:rPr>
      </w:pPr>
    </w:p>
    <w:p>
      <w:pPr>
        <w:pStyle w:val="BodyText"/>
        <w:spacing w:before="5"/>
        <w:rPr>
          <w:b/>
          <w:sz w:val="16"/>
        </w:rPr>
      </w:pPr>
    </w:p>
    <w:p>
      <w:pPr>
        <w:pStyle w:val="BodyText"/>
        <w:spacing w:line="374" w:lineRule="auto" w:before="96"/>
        <w:ind w:left="171" w:right="108" w:firstLine="676"/>
        <w:jc w:val="both"/>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pStyle w:val="BodyText"/>
        <w:spacing w:line="369" w:lineRule="auto"/>
        <w:ind w:left="171" w:right="135" w:firstLine="676"/>
        <w:jc w:val="both"/>
      </w:pPr>
      <w:r>
        <w:rPr>
          <w:b/>
          <w:u w:val="single"/>
        </w:rPr>
        <w:t>Having</w:t>
      </w:r>
      <w:r>
        <w:rPr>
          <w:b/>
          <w:spacing w:val="40"/>
          <w:u w:val="single"/>
        </w:rPr>
        <w:t> </w:t>
      </w:r>
      <w:r>
        <w:rPr>
          <w:b/>
          <w:u w:val="single"/>
        </w:rPr>
        <w:t>studied</w:t>
      </w:r>
      <w:r>
        <w:rPr>
          <w:b/>
          <w:spacing w:val="40"/>
        </w:rPr>
        <w:t> </w:t>
      </w:r>
      <w:r>
        <w:rPr/>
        <w:t>the</w:t>
      </w:r>
      <w:r>
        <w:rPr>
          <w:spacing w:val="40"/>
        </w:rPr>
        <w:t> </w:t>
      </w:r>
      <w:r>
        <w:rPr/>
        <w:t>OAU</w:t>
      </w:r>
      <w:r>
        <w:rPr>
          <w:spacing w:val="40"/>
        </w:rPr>
        <w:t> </w:t>
      </w:r>
      <w:r>
        <w:rPr/>
        <w:t>Administrative</w:t>
      </w:r>
      <w:r>
        <w:rPr>
          <w:spacing w:val="40"/>
        </w:rPr>
        <w:t> </w:t>
      </w:r>
      <w:r>
        <w:rPr/>
        <w:t>Secretary-General’s</w:t>
      </w:r>
      <w:r>
        <w:rPr>
          <w:spacing w:val="40"/>
        </w:rPr>
        <w:t> </w:t>
      </w:r>
      <w:r>
        <w:rPr/>
        <w:t>report</w:t>
      </w:r>
      <w:r>
        <w:rPr>
          <w:spacing w:val="40"/>
        </w:rPr>
        <w:t> </w:t>
      </w:r>
      <w:r>
        <w:rPr/>
        <w:t>on</w:t>
      </w:r>
      <w:r>
        <w:rPr>
          <w:spacing w:val="40"/>
        </w:rPr>
        <w:t> </w:t>
      </w:r>
      <w:r>
        <w:rPr/>
        <w:t>the developments of the Palestinian issue (doc CM/881(XXXI);</w:t>
      </w:r>
    </w:p>
    <w:p>
      <w:pPr>
        <w:pStyle w:val="BodyText"/>
        <w:spacing w:before="8"/>
        <w:rPr>
          <w:sz w:val="33"/>
        </w:rPr>
      </w:pPr>
    </w:p>
    <w:p>
      <w:pPr>
        <w:pStyle w:val="BodyText"/>
        <w:spacing w:line="369" w:lineRule="auto"/>
        <w:ind w:left="171" w:right="115" w:firstLine="676"/>
        <w:jc w:val="both"/>
      </w:pPr>
      <w:r>
        <w:rPr>
          <w:b/>
          <w:u w:val="single"/>
        </w:rPr>
        <w:t>Having</w:t>
      </w:r>
      <w:r>
        <w:rPr>
          <w:b/>
          <w:spacing w:val="40"/>
          <w:u w:val="single"/>
        </w:rPr>
        <w:t> </w:t>
      </w:r>
      <w:r>
        <w:rPr>
          <w:b/>
          <w:u w:val="single"/>
        </w:rPr>
        <w:t>heard</w:t>
      </w:r>
      <w:r>
        <w:rPr>
          <w:b/>
          <w:spacing w:val="40"/>
        </w:rPr>
        <w:t> </w:t>
      </w:r>
      <w:r>
        <w:rPr/>
        <w:t>the</w:t>
      </w:r>
      <w:r>
        <w:rPr>
          <w:spacing w:val="40"/>
        </w:rPr>
        <w:t> </w:t>
      </w:r>
      <w:r>
        <w:rPr/>
        <w:t>Statements</w:t>
      </w:r>
      <w:r>
        <w:rPr>
          <w:spacing w:val="40"/>
        </w:rPr>
        <w:t> </w:t>
      </w:r>
      <w:r>
        <w:rPr/>
        <w:t>made</w:t>
      </w:r>
      <w:r>
        <w:rPr>
          <w:spacing w:val="40"/>
        </w:rPr>
        <w:t> </w:t>
      </w:r>
      <w:r>
        <w:rPr/>
        <w:t>by</w:t>
      </w:r>
      <w:r>
        <w:rPr>
          <w:spacing w:val="40"/>
        </w:rPr>
        <w:t> </w:t>
      </w:r>
      <w:r>
        <w:rPr/>
        <w:t>various</w:t>
      </w:r>
      <w:r>
        <w:rPr>
          <w:spacing w:val="40"/>
        </w:rPr>
        <w:t> </w:t>
      </w:r>
      <w:r>
        <w:rPr/>
        <w:t>delegations</w:t>
      </w:r>
      <w:r>
        <w:rPr>
          <w:spacing w:val="40"/>
        </w:rPr>
        <w:t> </w:t>
      </w:r>
      <w:r>
        <w:rPr/>
        <w:t>and</w:t>
      </w:r>
      <w:r>
        <w:rPr>
          <w:spacing w:val="40"/>
        </w:rPr>
        <w:t> </w:t>
      </w:r>
      <w:r>
        <w:rPr/>
        <w:t>in</w:t>
      </w:r>
      <w:r>
        <w:rPr>
          <w:spacing w:val="40"/>
        </w:rPr>
        <w:t> </w:t>
      </w:r>
      <w:r>
        <w:rPr/>
        <w:t>particular</w:t>
      </w:r>
      <w:r>
        <w:rPr>
          <w:spacing w:val="40"/>
        </w:rPr>
        <w:t> </w:t>
      </w:r>
      <w:r>
        <w:rPr/>
        <w:t>the Statement made by Representative of the PLO,</w:t>
      </w:r>
    </w:p>
    <w:p>
      <w:pPr>
        <w:pStyle w:val="BodyText"/>
        <w:spacing w:before="1"/>
        <w:rPr>
          <w:sz w:val="34"/>
        </w:rPr>
      </w:pPr>
    </w:p>
    <w:p>
      <w:pPr>
        <w:pStyle w:val="BodyText"/>
        <w:spacing w:line="369" w:lineRule="auto"/>
        <w:ind w:left="171" w:right="118" w:firstLine="676"/>
        <w:jc w:val="both"/>
      </w:pPr>
      <w:r>
        <w:rPr>
          <w:b/>
          <w:u w:val="single"/>
        </w:rPr>
        <w:t>Recalling</w:t>
      </w:r>
      <w:r>
        <w:rPr>
          <w:b/>
        </w:rPr>
        <w:t> </w:t>
      </w:r>
      <w:r>
        <w:rPr/>
        <w:t>the resolutions adopted at previous sessions of the Assembly of Heads of State and Government and the Council of Ministers on the Middle East and the Palestinian issue;</w:t>
      </w:r>
    </w:p>
    <w:p>
      <w:pPr>
        <w:pStyle w:val="BodyText"/>
        <w:spacing w:before="3"/>
        <w:rPr>
          <w:sz w:val="33"/>
        </w:rPr>
      </w:pPr>
    </w:p>
    <w:p>
      <w:pPr>
        <w:pStyle w:val="BodyText"/>
        <w:spacing w:line="369" w:lineRule="auto"/>
        <w:ind w:left="171" w:right="110" w:firstLine="676"/>
        <w:jc w:val="both"/>
      </w:pPr>
      <w:r>
        <w:rPr>
          <w:b/>
          <w:u w:val="single"/>
        </w:rPr>
        <w:t>Recalling</w:t>
      </w:r>
      <w:r>
        <w:rPr>
          <w:b/>
        </w:rPr>
        <w:t> </w:t>
      </w:r>
      <w:r>
        <w:rPr/>
        <w:t>also the report of the </w:t>
      </w:r>
      <w:r>
        <w:rPr>
          <w:u w:val="single"/>
        </w:rPr>
        <w:t>Ad-Hoc</w:t>
      </w:r>
      <w:r>
        <w:rPr/>
        <w:t> Committee on the exercising by the Palestinian people of their inalienable rights, which reaffirms the Palestinian people’s legitimate and inalienable right to their homeland including their rights to return to self-determination, to sovereignty, and to the establishment of their independent State on their territory,</w:t>
      </w:r>
    </w:p>
    <w:p>
      <w:pPr>
        <w:pStyle w:val="BodyText"/>
        <w:rPr>
          <w:sz w:val="34"/>
        </w:rPr>
      </w:pPr>
    </w:p>
    <w:p>
      <w:pPr>
        <w:pStyle w:val="BodyText"/>
        <w:spacing w:line="369" w:lineRule="auto"/>
        <w:ind w:left="171" w:right="116" w:firstLine="676"/>
        <w:jc w:val="both"/>
      </w:pPr>
      <w:r>
        <w:rPr>
          <w:b/>
          <w:u w:val="single"/>
        </w:rPr>
        <w:t>Guided</w:t>
      </w:r>
      <w:r>
        <w:rPr>
          <w:b/>
          <w:spacing w:val="40"/>
        </w:rPr>
        <w:t> </w:t>
      </w:r>
      <w:r>
        <w:rPr/>
        <w:t>by the principles and objectives of the OAU and UN Charters, the common</w:t>
      </w:r>
      <w:r>
        <w:rPr>
          <w:spacing w:val="80"/>
        </w:rPr>
        <w:t> </w:t>
      </w:r>
      <w:r>
        <w:rPr/>
        <w:t>destiny of the African and Arab Peoples and their continuous joint struggle against zionism and racism for the sake of freedom, independence and peace,</w:t>
      </w:r>
    </w:p>
    <w:p>
      <w:pPr>
        <w:pStyle w:val="BodyText"/>
        <w:rPr>
          <w:sz w:val="34"/>
        </w:rPr>
      </w:pPr>
    </w:p>
    <w:p>
      <w:pPr>
        <w:pStyle w:val="BodyText"/>
        <w:spacing w:line="364" w:lineRule="auto"/>
        <w:ind w:left="171" w:right="116" w:firstLine="676"/>
        <w:jc w:val="both"/>
      </w:pPr>
      <w:r>
        <w:rPr>
          <w:b/>
          <w:u w:val="single"/>
        </w:rPr>
        <w:t>Recalling</w:t>
      </w:r>
      <w:r>
        <w:rPr>
          <w:b/>
          <w:spacing w:val="40"/>
        </w:rPr>
        <w:t> </w:t>
      </w:r>
      <w:r>
        <w:rPr/>
        <w:t>that</w:t>
      </w:r>
      <w:r>
        <w:rPr>
          <w:spacing w:val="35"/>
        </w:rPr>
        <w:t> </w:t>
      </w:r>
      <w:r>
        <w:rPr/>
        <w:t>the</w:t>
      </w:r>
      <w:r>
        <w:rPr>
          <w:spacing w:val="33"/>
        </w:rPr>
        <w:t> </w:t>
      </w:r>
      <w:r>
        <w:rPr/>
        <w:t>Palestinian</w:t>
      </w:r>
      <w:r>
        <w:rPr>
          <w:spacing w:val="35"/>
        </w:rPr>
        <w:t> </w:t>
      </w:r>
      <w:r>
        <w:rPr/>
        <w:t>issue</w:t>
      </w:r>
      <w:r>
        <w:rPr>
          <w:spacing w:val="33"/>
        </w:rPr>
        <w:t> </w:t>
      </w:r>
      <w:r>
        <w:rPr/>
        <w:t>is</w:t>
      </w:r>
      <w:r>
        <w:rPr>
          <w:spacing w:val="33"/>
        </w:rPr>
        <w:t> </w:t>
      </w:r>
      <w:r>
        <w:rPr/>
        <w:t>the</w:t>
      </w:r>
      <w:r>
        <w:rPr>
          <w:spacing w:val="33"/>
        </w:rPr>
        <w:t> </w:t>
      </w:r>
      <w:r>
        <w:rPr/>
        <w:t>core</w:t>
      </w:r>
      <w:r>
        <w:rPr>
          <w:spacing w:val="33"/>
        </w:rPr>
        <w:t> </w:t>
      </w:r>
      <w:r>
        <w:rPr/>
        <w:t>of</w:t>
      </w:r>
      <w:r>
        <w:rPr>
          <w:spacing w:val="33"/>
        </w:rPr>
        <w:t> </w:t>
      </w:r>
      <w:r>
        <w:rPr/>
        <w:t>the</w:t>
      </w:r>
      <w:r>
        <w:rPr>
          <w:spacing w:val="33"/>
        </w:rPr>
        <w:t> </w:t>
      </w:r>
      <w:r>
        <w:rPr/>
        <w:t>Middle</w:t>
      </w:r>
      <w:r>
        <w:rPr>
          <w:spacing w:val="33"/>
        </w:rPr>
        <w:t> </w:t>
      </w:r>
      <w:r>
        <w:rPr/>
        <w:t>East</w:t>
      </w:r>
      <w:r>
        <w:rPr>
          <w:spacing w:val="33"/>
        </w:rPr>
        <w:t> </w:t>
      </w:r>
      <w:r>
        <w:rPr/>
        <w:t>conflict</w:t>
      </w:r>
      <w:r>
        <w:rPr>
          <w:spacing w:val="33"/>
        </w:rPr>
        <w:t> </w:t>
      </w:r>
      <w:r>
        <w:rPr/>
        <w:t>and</w:t>
      </w:r>
      <w:r>
        <w:rPr>
          <w:spacing w:val="35"/>
        </w:rPr>
        <w:t> </w:t>
      </w:r>
      <w:r>
        <w:rPr/>
        <w:t>that</w:t>
      </w:r>
      <w:r>
        <w:rPr>
          <w:spacing w:val="33"/>
        </w:rPr>
        <w:t> </w:t>
      </w:r>
      <w:r>
        <w:rPr/>
        <w:t>the PLO is the sole legitimate representative of the Palestinian people,</w:t>
      </w:r>
    </w:p>
    <w:p>
      <w:pPr>
        <w:pStyle w:val="BodyText"/>
        <w:spacing w:before="1"/>
        <w:rPr>
          <w:sz w:val="34"/>
        </w:rPr>
      </w:pPr>
    </w:p>
    <w:p>
      <w:pPr>
        <w:pStyle w:val="BodyText"/>
        <w:spacing w:line="369" w:lineRule="auto" w:before="1"/>
        <w:ind w:left="171" w:right="114" w:firstLine="676"/>
        <w:jc w:val="both"/>
      </w:pPr>
      <w:r>
        <w:rPr>
          <w:b/>
          <w:u w:val="single"/>
        </w:rPr>
        <w:t>Taking cognizance</w:t>
      </w:r>
      <w:r>
        <w:rPr>
          <w:b/>
        </w:rPr>
        <w:t> </w:t>
      </w:r>
      <w:r>
        <w:rPr/>
        <w:t>of the statements made on the Palestinian issue and the critical</w:t>
      </w:r>
      <w:r>
        <w:rPr>
          <w:spacing w:val="40"/>
        </w:rPr>
        <w:t> </w:t>
      </w:r>
      <w:r>
        <w:rPr/>
        <w:t>situation currently prevailing as a result of the perpetuation of the Israeli occupation of Palestine and the Arab territories and of Israel’s denial of the legitimate and inalienable rights of the Palestinian people, as well as Israel’s refusal to abide by the UN General Assembly r</w:t>
      </w:r>
      <w:r>
        <w:rPr>
          <w:spacing w:val="-22"/>
        </w:rPr>
        <w:t> </w:t>
      </w:r>
      <w:r>
        <w:rPr/>
        <w:t>esolutions,</w:t>
      </w:r>
    </w:p>
    <w:p>
      <w:pPr>
        <w:pStyle w:val="BodyText"/>
        <w:spacing w:before="10"/>
        <w:rPr>
          <w:sz w:val="33"/>
        </w:rPr>
      </w:pPr>
    </w:p>
    <w:p>
      <w:pPr>
        <w:pStyle w:val="BodyText"/>
        <w:spacing w:before="1"/>
        <w:ind w:left="848"/>
      </w:pPr>
      <w:r>
        <w:rPr>
          <w:b/>
          <w:u w:val="single"/>
        </w:rPr>
        <w:t>Aware</w:t>
      </w:r>
      <w:r>
        <w:rPr>
          <w:b/>
          <w:spacing w:val="5"/>
        </w:rPr>
        <w:t> </w:t>
      </w:r>
      <w:r>
        <w:rPr/>
        <w:t>of</w:t>
      </w:r>
      <w:r>
        <w:rPr>
          <w:spacing w:val="4"/>
        </w:rPr>
        <w:t> </w:t>
      </w:r>
      <w:r>
        <w:rPr/>
        <w:t>the</w:t>
      </w:r>
      <w:r>
        <w:rPr>
          <w:spacing w:val="4"/>
        </w:rPr>
        <w:t> </w:t>
      </w:r>
      <w:r>
        <w:rPr/>
        <w:t>fact</w:t>
      </w:r>
      <w:r>
        <w:rPr>
          <w:spacing w:val="4"/>
        </w:rPr>
        <w:t> </w:t>
      </w:r>
      <w:r>
        <w:rPr/>
        <w:t>that</w:t>
      </w:r>
      <w:r>
        <w:rPr>
          <w:spacing w:val="4"/>
        </w:rPr>
        <w:t> </w:t>
      </w:r>
      <w:r>
        <w:rPr/>
        <w:t>the</w:t>
      </w:r>
      <w:r>
        <w:rPr>
          <w:spacing w:val="4"/>
        </w:rPr>
        <w:t> </w:t>
      </w:r>
      <w:r>
        <w:rPr/>
        <w:t>Palestinian</w:t>
      </w:r>
      <w:r>
        <w:rPr>
          <w:spacing w:val="4"/>
        </w:rPr>
        <w:t> </w:t>
      </w:r>
      <w:r>
        <w:rPr/>
        <w:t>issue</w:t>
      </w:r>
      <w:r>
        <w:rPr>
          <w:spacing w:val="4"/>
        </w:rPr>
        <w:t> </w:t>
      </w:r>
      <w:r>
        <w:rPr/>
        <w:t>is</w:t>
      </w:r>
      <w:r>
        <w:rPr>
          <w:spacing w:val="4"/>
        </w:rPr>
        <w:t> </w:t>
      </w:r>
      <w:r>
        <w:rPr/>
        <w:t>an</w:t>
      </w:r>
      <w:r>
        <w:rPr>
          <w:spacing w:val="5"/>
        </w:rPr>
        <w:t> </w:t>
      </w:r>
      <w:r>
        <w:rPr/>
        <w:t>Arab</w:t>
      </w:r>
      <w:r>
        <w:rPr>
          <w:spacing w:val="4"/>
        </w:rPr>
        <w:t> </w:t>
      </w:r>
      <w:r>
        <w:rPr/>
        <w:t>and</w:t>
      </w:r>
      <w:r>
        <w:rPr>
          <w:spacing w:val="5"/>
        </w:rPr>
        <w:t> </w:t>
      </w:r>
      <w:r>
        <w:rPr/>
        <w:t>African</w:t>
      </w:r>
      <w:r>
        <w:rPr>
          <w:spacing w:val="4"/>
        </w:rPr>
        <w:t> </w:t>
      </w:r>
      <w:r>
        <w:rPr>
          <w:spacing w:val="-4"/>
        </w:rPr>
        <w:t>one,</w:t>
      </w:r>
    </w:p>
    <w:p>
      <w:pPr>
        <w:spacing w:after="0"/>
        <w:sectPr>
          <w:headerReference w:type="default" r:id="rId5"/>
          <w:type w:val="continuous"/>
          <w:pgSz w:w="12240" w:h="15840"/>
          <w:pgMar w:header="701" w:footer="0" w:top="940" w:bottom="280" w:left="1720" w:right="1440"/>
          <w:pgNumType w:start="1"/>
        </w:sectPr>
      </w:pPr>
    </w:p>
    <w:p>
      <w:pPr>
        <w:pStyle w:val="BodyText"/>
        <w:spacing w:line="369" w:lineRule="auto" w:before="5"/>
        <w:ind w:left="171" w:right="109" w:firstLine="676"/>
        <w:jc w:val="both"/>
      </w:pPr>
      <w:r>
        <w:rPr>
          <w:b/>
          <w:u w:val="single"/>
        </w:rPr>
        <w:t>Reaffirming</w:t>
      </w:r>
      <w:r>
        <w:rPr>
          <w:b/>
          <w:spacing w:val="40"/>
        </w:rPr>
        <w:t> </w:t>
      </w:r>
      <w:r>
        <w:rPr/>
        <w:t>the</w:t>
      </w:r>
      <w:r>
        <w:rPr>
          <w:spacing w:val="40"/>
        </w:rPr>
        <w:t> </w:t>
      </w:r>
      <w:r>
        <w:rPr/>
        <w:t>legitimate</w:t>
      </w:r>
      <w:r>
        <w:rPr>
          <w:spacing w:val="40"/>
        </w:rPr>
        <w:t> </w:t>
      </w:r>
      <w:r>
        <w:rPr/>
        <w:t>character</w:t>
      </w:r>
      <w:r>
        <w:rPr>
          <w:spacing w:val="40"/>
        </w:rPr>
        <w:t> </w:t>
      </w:r>
      <w:r>
        <w:rPr/>
        <w:t>of</w:t>
      </w:r>
      <w:r>
        <w:rPr>
          <w:spacing w:val="40"/>
        </w:rPr>
        <w:t> </w:t>
      </w:r>
      <w:r>
        <w:rPr/>
        <w:t>the</w:t>
      </w:r>
      <w:r>
        <w:rPr>
          <w:spacing w:val="40"/>
        </w:rPr>
        <w:t> </w:t>
      </w:r>
      <w:r>
        <w:rPr/>
        <w:t>struggle</w:t>
      </w:r>
      <w:r>
        <w:rPr>
          <w:spacing w:val="40"/>
        </w:rPr>
        <w:t> </w:t>
      </w:r>
      <w:r>
        <w:rPr/>
        <w:t>being</w:t>
      </w:r>
      <w:r>
        <w:rPr>
          <w:spacing w:val="40"/>
        </w:rPr>
        <w:t> </w:t>
      </w:r>
      <w:r>
        <w:rPr/>
        <w:t>waged</w:t>
      </w:r>
      <w:r>
        <w:rPr>
          <w:spacing w:val="40"/>
        </w:rPr>
        <w:t> </w:t>
      </w:r>
      <w:r>
        <w:rPr/>
        <w:t>by</w:t>
      </w:r>
      <w:r>
        <w:rPr>
          <w:spacing w:val="40"/>
        </w:rPr>
        <w:t> </w:t>
      </w:r>
      <w:r>
        <w:rPr/>
        <w:t>the</w:t>
      </w:r>
      <w:r>
        <w:rPr>
          <w:spacing w:val="40"/>
        </w:rPr>
        <w:t> </w:t>
      </w:r>
      <w:r>
        <w:rPr/>
        <w:t>Palestinian people</w:t>
      </w:r>
      <w:r>
        <w:rPr>
          <w:spacing w:val="40"/>
        </w:rPr>
        <w:t> </w:t>
      </w:r>
      <w:r>
        <w:rPr/>
        <w:t>under</w:t>
      </w:r>
      <w:r>
        <w:rPr>
          <w:spacing w:val="40"/>
        </w:rPr>
        <w:t> </w:t>
      </w:r>
      <w:r>
        <w:rPr/>
        <w:t>the</w:t>
      </w:r>
      <w:r>
        <w:rPr>
          <w:spacing w:val="40"/>
        </w:rPr>
        <w:t> </w:t>
      </w:r>
      <w:r>
        <w:rPr/>
        <w:t>leadership</w:t>
      </w:r>
      <w:r>
        <w:rPr>
          <w:spacing w:val="40"/>
        </w:rPr>
        <w:t> </w:t>
      </w:r>
      <w:r>
        <w:rPr/>
        <w:t>of</w:t>
      </w:r>
      <w:r>
        <w:rPr>
          <w:spacing w:val="40"/>
        </w:rPr>
        <w:t> </w:t>
      </w:r>
      <w:r>
        <w:rPr/>
        <w:t>the</w:t>
      </w:r>
      <w:r>
        <w:rPr>
          <w:spacing w:val="40"/>
        </w:rPr>
        <w:t> </w:t>
      </w:r>
      <w:r>
        <w:rPr/>
        <w:t>PLO,</w:t>
      </w:r>
      <w:r>
        <w:rPr>
          <w:spacing w:val="40"/>
        </w:rPr>
        <w:t> </w:t>
      </w:r>
      <w:r>
        <w:rPr/>
        <w:t>with</w:t>
      </w:r>
      <w:r>
        <w:rPr>
          <w:spacing w:val="40"/>
        </w:rPr>
        <w:t> </w:t>
      </w:r>
      <w:r>
        <w:rPr/>
        <w:t>a</w:t>
      </w:r>
      <w:r>
        <w:rPr>
          <w:spacing w:val="40"/>
        </w:rPr>
        <w:t> </w:t>
      </w:r>
      <w:r>
        <w:rPr/>
        <w:t>view</w:t>
      </w:r>
      <w:r>
        <w:rPr>
          <w:spacing w:val="40"/>
        </w:rPr>
        <w:t> </w:t>
      </w:r>
      <w:r>
        <w:rPr/>
        <w:t>to</w:t>
      </w:r>
      <w:r>
        <w:rPr>
          <w:spacing w:val="40"/>
        </w:rPr>
        <w:t> </w:t>
      </w:r>
      <w:r>
        <w:rPr/>
        <w:t>recovering</w:t>
      </w:r>
      <w:r>
        <w:rPr>
          <w:spacing w:val="40"/>
        </w:rPr>
        <w:t> </w:t>
      </w:r>
      <w:r>
        <w:rPr/>
        <w:t>their</w:t>
      </w:r>
      <w:r>
        <w:rPr>
          <w:spacing w:val="40"/>
        </w:rPr>
        <w:t> </w:t>
      </w:r>
      <w:r>
        <w:rPr/>
        <w:t>national</w:t>
      </w:r>
      <w:r>
        <w:rPr>
          <w:spacing w:val="40"/>
        </w:rPr>
        <w:t> </w:t>
      </w:r>
      <w:r>
        <w:rPr/>
        <w:t>rights; reaffirming</w:t>
      </w:r>
      <w:r>
        <w:rPr>
          <w:spacing w:val="40"/>
        </w:rPr>
        <w:t> </w:t>
      </w:r>
      <w:r>
        <w:rPr/>
        <w:t>as</w:t>
      </w:r>
      <w:r>
        <w:rPr>
          <w:spacing w:val="40"/>
        </w:rPr>
        <w:t> </w:t>
      </w:r>
      <w:r>
        <w:rPr/>
        <w:t>well</w:t>
      </w:r>
      <w:r>
        <w:rPr>
          <w:spacing w:val="40"/>
        </w:rPr>
        <w:t> </w:t>
      </w:r>
      <w:r>
        <w:rPr/>
        <w:t>that</w:t>
      </w:r>
      <w:r>
        <w:rPr>
          <w:spacing w:val="40"/>
        </w:rPr>
        <w:t> </w:t>
      </w:r>
      <w:r>
        <w:rPr/>
        <w:t>it</w:t>
      </w:r>
      <w:r>
        <w:rPr>
          <w:spacing w:val="40"/>
        </w:rPr>
        <w:t> </w:t>
      </w:r>
      <w:r>
        <w:rPr/>
        <w:t>is</w:t>
      </w:r>
      <w:r>
        <w:rPr>
          <w:spacing w:val="40"/>
        </w:rPr>
        <w:t> </w:t>
      </w:r>
      <w:r>
        <w:rPr/>
        <w:t>impossible</w:t>
      </w:r>
      <w:r>
        <w:rPr>
          <w:spacing w:val="40"/>
        </w:rPr>
        <w:t> </w:t>
      </w:r>
      <w:r>
        <w:rPr/>
        <w:t>to</w:t>
      </w:r>
      <w:r>
        <w:rPr>
          <w:spacing w:val="40"/>
        </w:rPr>
        <w:t> </w:t>
      </w:r>
      <w:r>
        <w:rPr/>
        <w:t>achieve</w:t>
      </w:r>
      <w:r>
        <w:rPr>
          <w:spacing w:val="40"/>
        </w:rPr>
        <w:t> </w:t>
      </w:r>
      <w:r>
        <w:rPr/>
        <w:t>a</w:t>
      </w:r>
      <w:r>
        <w:rPr>
          <w:spacing w:val="40"/>
        </w:rPr>
        <w:t> </w:t>
      </w:r>
      <w:r>
        <w:rPr/>
        <w:t>just</w:t>
      </w:r>
      <w:r>
        <w:rPr>
          <w:spacing w:val="40"/>
        </w:rPr>
        <w:t> </w:t>
      </w:r>
      <w:r>
        <w:rPr/>
        <w:t>and</w:t>
      </w:r>
      <w:r>
        <w:rPr>
          <w:spacing w:val="40"/>
        </w:rPr>
        <w:t> </w:t>
      </w:r>
      <w:r>
        <w:rPr/>
        <w:t>durable</w:t>
      </w:r>
      <w:r>
        <w:rPr>
          <w:spacing w:val="40"/>
        </w:rPr>
        <w:t> </w:t>
      </w:r>
      <w:r>
        <w:rPr/>
        <w:t>peace</w:t>
      </w:r>
      <w:r>
        <w:rPr>
          <w:spacing w:val="40"/>
        </w:rPr>
        <w:t> </w:t>
      </w:r>
      <w:r>
        <w:rPr/>
        <w:t>without</w:t>
      </w:r>
      <w:r>
        <w:rPr>
          <w:spacing w:val="40"/>
        </w:rPr>
        <w:t> </w:t>
      </w:r>
      <w:r>
        <w:rPr/>
        <w:t>the withdrawal of Israel from the occupied Arab territories and its recognition of the legitimate rights</w:t>
      </w:r>
      <w:r>
        <w:rPr>
          <w:spacing w:val="40"/>
        </w:rPr>
        <w:t> </w:t>
      </w:r>
      <w:r>
        <w:rPr/>
        <w:t>of the Palestinian people,</w:t>
      </w:r>
    </w:p>
    <w:p>
      <w:pPr>
        <w:pStyle w:val="BodyText"/>
        <w:spacing w:before="10"/>
        <w:rPr>
          <w:sz w:val="33"/>
        </w:rPr>
      </w:pPr>
    </w:p>
    <w:p>
      <w:pPr>
        <w:pStyle w:val="BodyText"/>
        <w:spacing w:line="369" w:lineRule="auto"/>
        <w:ind w:left="171" w:right="114" w:firstLine="676"/>
        <w:jc w:val="both"/>
      </w:pPr>
      <w:r>
        <w:rPr>
          <w:b/>
          <w:u w:val="single"/>
        </w:rPr>
        <w:t>Noting</w:t>
      </w:r>
      <w:r>
        <w:rPr>
          <w:b/>
        </w:rPr>
        <w:t> </w:t>
      </w:r>
      <w:r>
        <w:rPr/>
        <w:t>that the alliance between the zionist regime in Israel, and the racist regime in Rhodesia and South Africa aim at the pursuit of a policy of terrorism and liquidation of the Palestinian and Arab peoples in the occupied Arab territories, of the African peoples in South Africa, Namibia and Zimbabwe, and that Israel and the racist regimes resort to the same means,</w:t>
      </w:r>
    </w:p>
    <w:p>
      <w:pPr>
        <w:pStyle w:val="BodyText"/>
        <w:spacing w:before="6"/>
        <w:rPr>
          <w:sz w:val="33"/>
        </w:rPr>
      </w:pPr>
    </w:p>
    <w:p>
      <w:pPr>
        <w:pStyle w:val="BodyText"/>
        <w:spacing w:line="369" w:lineRule="auto"/>
        <w:ind w:left="171" w:right="114" w:firstLine="676"/>
        <w:jc w:val="both"/>
      </w:pPr>
      <w:r>
        <w:rPr>
          <w:b/>
          <w:u w:val="single"/>
        </w:rPr>
        <w:t>Denouncing</w:t>
      </w:r>
      <w:r>
        <w:rPr>
          <w:b/>
        </w:rPr>
        <w:t> </w:t>
      </w:r>
      <w:r>
        <w:rPr/>
        <w:t>the repeated Israeli acts of aggression against the Palestinian people, both inside</w:t>
      </w:r>
      <w:r>
        <w:rPr>
          <w:spacing w:val="21"/>
        </w:rPr>
        <w:t> </w:t>
      </w:r>
      <w:r>
        <w:rPr/>
        <w:t>and</w:t>
      </w:r>
      <w:r>
        <w:rPr>
          <w:spacing w:val="22"/>
        </w:rPr>
        <w:t> </w:t>
      </w:r>
      <w:r>
        <w:rPr/>
        <w:t>outside</w:t>
      </w:r>
      <w:r>
        <w:rPr>
          <w:spacing w:val="21"/>
        </w:rPr>
        <w:t> </w:t>
      </w:r>
      <w:r>
        <w:rPr/>
        <w:t>occupied</w:t>
      </w:r>
      <w:r>
        <w:rPr>
          <w:spacing w:val="22"/>
        </w:rPr>
        <w:t> </w:t>
      </w:r>
      <w:r>
        <w:rPr/>
        <w:t>Palestine,</w:t>
      </w:r>
      <w:r>
        <w:rPr>
          <w:spacing w:val="22"/>
        </w:rPr>
        <w:t> </w:t>
      </w:r>
      <w:r>
        <w:rPr/>
        <w:t>as</w:t>
      </w:r>
      <w:r>
        <w:rPr>
          <w:spacing w:val="21"/>
        </w:rPr>
        <w:t> </w:t>
      </w:r>
      <w:r>
        <w:rPr/>
        <w:t>evidenced</w:t>
      </w:r>
      <w:r>
        <w:rPr>
          <w:spacing w:val="22"/>
        </w:rPr>
        <w:t> </w:t>
      </w:r>
      <w:r>
        <w:rPr/>
        <w:t>by</w:t>
      </w:r>
      <w:r>
        <w:rPr>
          <w:spacing w:val="21"/>
        </w:rPr>
        <w:t> </w:t>
      </w:r>
      <w:r>
        <w:rPr/>
        <w:t>the</w:t>
      </w:r>
      <w:r>
        <w:rPr>
          <w:spacing w:val="22"/>
        </w:rPr>
        <w:t> </w:t>
      </w:r>
      <w:r>
        <w:rPr/>
        <w:t>daily</w:t>
      </w:r>
      <w:r>
        <w:rPr>
          <w:spacing w:val="21"/>
        </w:rPr>
        <w:t> </w:t>
      </w:r>
      <w:r>
        <w:rPr/>
        <w:t>acts</w:t>
      </w:r>
      <w:r>
        <w:rPr>
          <w:spacing w:val="21"/>
        </w:rPr>
        <w:t> </w:t>
      </w:r>
      <w:r>
        <w:rPr/>
        <w:t>of</w:t>
      </w:r>
      <w:r>
        <w:rPr>
          <w:spacing w:val="21"/>
        </w:rPr>
        <w:t> </w:t>
      </w:r>
      <w:r>
        <w:rPr/>
        <w:t>repression</w:t>
      </w:r>
      <w:r>
        <w:rPr>
          <w:spacing w:val="19"/>
        </w:rPr>
        <w:t> </w:t>
      </w:r>
      <w:r>
        <w:rPr/>
        <w:t>and</w:t>
      </w:r>
      <w:r>
        <w:rPr>
          <w:spacing w:val="19"/>
        </w:rPr>
        <w:t> </w:t>
      </w:r>
      <w:r>
        <w:rPr/>
        <w:t>terrorism as well as the establishment of settlements and the alteration of geographical demographic and cultural features, which constitute an overt and glaring violation of the Fourteenth Geneva Convention on the protection of civilians in times of war.</w:t>
      </w:r>
      <w:r>
        <w:rPr>
          <w:spacing w:val="40"/>
        </w:rPr>
        <w:t> </w:t>
      </w:r>
      <w:r>
        <w:rPr/>
        <w:t>These acts of aggression have reached their climax when Israel invaded South Lebanon, thus confirming its aggressive and expansionist </w:t>
      </w:r>
      <w:r>
        <w:rPr>
          <w:spacing w:val="-2"/>
        </w:rPr>
        <w:t>nature:</w:t>
      </w:r>
    </w:p>
    <w:p>
      <w:pPr>
        <w:pStyle w:val="BodyText"/>
        <w:spacing w:before="9"/>
        <w:rPr>
          <w:sz w:val="33"/>
        </w:rPr>
      </w:pPr>
    </w:p>
    <w:p>
      <w:pPr>
        <w:pStyle w:val="ListParagraph"/>
        <w:numPr>
          <w:ilvl w:val="0"/>
          <w:numId w:val="1"/>
        </w:numPr>
        <w:tabs>
          <w:tab w:pos="1185" w:val="left" w:leader="none"/>
        </w:tabs>
        <w:spacing w:line="369" w:lineRule="auto" w:before="0" w:after="0"/>
        <w:ind w:left="1183" w:right="114" w:hanging="336"/>
        <w:jc w:val="both"/>
        <w:rPr>
          <w:sz w:val="22"/>
        </w:rPr>
      </w:pPr>
      <w:r>
        <w:rPr>
          <w:b/>
          <w:sz w:val="22"/>
        </w:rPr>
        <w:t>REAFFIRMS</w:t>
      </w:r>
      <w:r>
        <w:rPr>
          <w:b/>
          <w:spacing w:val="40"/>
          <w:sz w:val="22"/>
        </w:rPr>
        <w:t> </w:t>
      </w:r>
      <w:r>
        <w:rPr>
          <w:sz w:val="22"/>
        </w:rPr>
        <w:t>all</w:t>
      </w:r>
      <w:r>
        <w:rPr>
          <w:spacing w:val="40"/>
          <w:sz w:val="22"/>
        </w:rPr>
        <w:t> </w:t>
      </w:r>
      <w:r>
        <w:rPr>
          <w:sz w:val="22"/>
        </w:rPr>
        <w:t>the</w:t>
      </w:r>
      <w:r>
        <w:rPr>
          <w:spacing w:val="40"/>
          <w:sz w:val="22"/>
        </w:rPr>
        <w:t> </w:t>
      </w:r>
      <w:r>
        <w:rPr>
          <w:sz w:val="22"/>
        </w:rPr>
        <w:t>resolutions</w:t>
      </w:r>
      <w:r>
        <w:rPr>
          <w:spacing w:val="40"/>
          <w:sz w:val="22"/>
        </w:rPr>
        <w:t> </w:t>
      </w:r>
      <w:r>
        <w:rPr>
          <w:sz w:val="22"/>
        </w:rPr>
        <w:t>previously</w:t>
      </w:r>
      <w:r>
        <w:rPr>
          <w:spacing w:val="40"/>
          <w:sz w:val="22"/>
        </w:rPr>
        <w:t> </w:t>
      </w:r>
      <w:r>
        <w:rPr>
          <w:sz w:val="22"/>
        </w:rPr>
        <w:t>adopted</w:t>
      </w:r>
      <w:r>
        <w:rPr>
          <w:spacing w:val="40"/>
          <w:sz w:val="22"/>
        </w:rPr>
        <w:t> </w:t>
      </w:r>
      <w:r>
        <w:rPr>
          <w:sz w:val="22"/>
        </w:rPr>
        <w:t>by</w:t>
      </w:r>
      <w:r>
        <w:rPr>
          <w:spacing w:val="40"/>
          <w:sz w:val="22"/>
        </w:rPr>
        <w:t> </w:t>
      </w:r>
      <w:r>
        <w:rPr>
          <w:sz w:val="22"/>
        </w:rPr>
        <w:t>the</w:t>
      </w:r>
      <w:r>
        <w:rPr>
          <w:spacing w:val="40"/>
          <w:sz w:val="22"/>
        </w:rPr>
        <w:t> </w:t>
      </w:r>
      <w:r>
        <w:rPr>
          <w:sz w:val="22"/>
        </w:rPr>
        <w:t>Council,</w:t>
      </w:r>
      <w:r>
        <w:rPr>
          <w:spacing w:val="40"/>
          <w:sz w:val="22"/>
        </w:rPr>
        <w:t> </w:t>
      </w:r>
      <w:r>
        <w:rPr>
          <w:sz w:val="22"/>
        </w:rPr>
        <w:t>as</w:t>
      </w:r>
      <w:r>
        <w:rPr>
          <w:spacing w:val="40"/>
          <w:sz w:val="22"/>
        </w:rPr>
        <w:t> </w:t>
      </w:r>
      <w:r>
        <w:rPr>
          <w:sz w:val="22"/>
        </w:rPr>
        <w:t>well</w:t>
      </w:r>
      <w:r>
        <w:rPr>
          <w:spacing w:val="40"/>
          <w:sz w:val="22"/>
        </w:rPr>
        <w:t> </w:t>
      </w:r>
      <w:r>
        <w:rPr>
          <w:sz w:val="22"/>
        </w:rPr>
        <w:t>as</w:t>
      </w:r>
      <w:r>
        <w:rPr>
          <w:spacing w:val="40"/>
          <w:sz w:val="22"/>
        </w:rPr>
        <w:t> </w:t>
      </w:r>
      <w:r>
        <w:rPr>
          <w:sz w:val="22"/>
        </w:rPr>
        <w:t>its total and effective support to the Palestinian people under the leadership of the PLO, their</w:t>
      </w:r>
      <w:r>
        <w:rPr>
          <w:spacing w:val="26"/>
          <w:sz w:val="22"/>
        </w:rPr>
        <w:t> </w:t>
      </w:r>
      <w:r>
        <w:rPr>
          <w:sz w:val="22"/>
        </w:rPr>
        <w:t>sole</w:t>
      </w:r>
      <w:r>
        <w:rPr>
          <w:spacing w:val="26"/>
          <w:sz w:val="22"/>
        </w:rPr>
        <w:t> </w:t>
      </w:r>
      <w:r>
        <w:rPr>
          <w:sz w:val="22"/>
        </w:rPr>
        <w:t>legitimate</w:t>
      </w:r>
      <w:r>
        <w:rPr>
          <w:spacing w:val="26"/>
          <w:sz w:val="22"/>
        </w:rPr>
        <w:t> </w:t>
      </w:r>
      <w:r>
        <w:rPr>
          <w:sz w:val="22"/>
        </w:rPr>
        <w:t>representative,</w:t>
      </w:r>
      <w:r>
        <w:rPr>
          <w:spacing w:val="27"/>
          <w:sz w:val="22"/>
        </w:rPr>
        <w:t> </w:t>
      </w:r>
      <w:r>
        <w:rPr>
          <w:sz w:val="22"/>
        </w:rPr>
        <w:t>as</w:t>
      </w:r>
      <w:r>
        <w:rPr>
          <w:spacing w:val="26"/>
          <w:sz w:val="22"/>
        </w:rPr>
        <w:t> </w:t>
      </w:r>
      <w:r>
        <w:rPr>
          <w:sz w:val="22"/>
        </w:rPr>
        <w:t>well</w:t>
      </w:r>
      <w:r>
        <w:rPr>
          <w:spacing w:val="26"/>
          <w:sz w:val="22"/>
        </w:rPr>
        <w:t> </w:t>
      </w:r>
      <w:r>
        <w:rPr>
          <w:sz w:val="22"/>
        </w:rPr>
        <w:t>as</w:t>
      </w:r>
      <w:r>
        <w:rPr>
          <w:spacing w:val="26"/>
          <w:sz w:val="22"/>
        </w:rPr>
        <w:t> </w:t>
      </w:r>
      <w:r>
        <w:rPr>
          <w:sz w:val="22"/>
        </w:rPr>
        <w:t>their</w:t>
      </w:r>
      <w:r>
        <w:rPr>
          <w:spacing w:val="26"/>
          <w:sz w:val="22"/>
        </w:rPr>
        <w:t> </w:t>
      </w:r>
      <w:r>
        <w:rPr>
          <w:sz w:val="22"/>
        </w:rPr>
        <w:t>right</w:t>
      </w:r>
      <w:r>
        <w:rPr>
          <w:spacing w:val="26"/>
          <w:sz w:val="22"/>
        </w:rPr>
        <w:t> </w:t>
      </w:r>
      <w:r>
        <w:rPr>
          <w:sz w:val="22"/>
        </w:rPr>
        <w:t>to</w:t>
      </w:r>
      <w:r>
        <w:rPr>
          <w:spacing w:val="26"/>
          <w:sz w:val="22"/>
        </w:rPr>
        <w:t> </w:t>
      </w:r>
      <w:r>
        <w:rPr>
          <w:sz w:val="22"/>
        </w:rPr>
        <w:t>return</w:t>
      </w:r>
      <w:r>
        <w:rPr>
          <w:spacing w:val="27"/>
          <w:sz w:val="22"/>
        </w:rPr>
        <w:t> </w:t>
      </w:r>
      <w:r>
        <w:rPr>
          <w:sz w:val="22"/>
        </w:rPr>
        <w:t>to</w:t>
      </w:r>
      <w:r>
        <w:rPr>
          <w:spacing w:val="26"/>
          <w:sz w:val="22"/>
        </w:rPr>
        <w:t> </w:t>
      </w:r>
      <w:r>
        <w:rPr>
          <w:sz w:val="22"/>
        </w:rPr>
        <w:t>their</w:t>
      </w:r>
      <w:r>
        <w:rPr>
          <w:spacing w:val="26"/>
          <w:sz w:val="22"/>
        </w:rPr>
        <w:t> </w:t>
      </w:r>
      <w:r>
        <w:rPr>
          <w:sz w:val="22"/>
        </w:rPr>
        <w:t>homeland, the sovereignty to self-determination and to the establishment of their independent</w:t>
      </w:r>
      <w:r>
        <w:rPr>
          <w:spacing w:val="80"/>
          <w:sz w:val="22"/>
        </w:rPr>
        <w:t> </w:t>
      </w:r>
      <w:r>
        <w:rPr>
          <w:spacing w:val="-2"/>
          <w:sz w:val="22"/>
        </w:rPr>
        <w:t>state;</w:t>
      </w:r>
    </w:p>
    <w:p>
      <w:pPr>
        <w:pStyle w:val="BodyText"/>
        <w:spacing w:before="10"/>
        <w:rPr>
          <w:sz w:val="33"/>
        </w:rPr>
      </w:pPr>
    </w:p>
    <w:p>
      <w:pPr>
        <w:pStyle w:val="ListParagraph"/>
        <w:numPr>
          <w:ilvl w:val="0"/>
          <w:numId w:val="1"/>
        </w:numPr>
        <w:tabs>
          <w:tab w:pos="1185" w:val="left" w:leader="none"/>
        </w:tabs>
        <w:spacing w:line="367" w:lineRule="auto" w:before="0" w:after="0"/>
        <w:ind w:left="1184" w:right="118" w:hanging="336"/>
        <w:jc w:val="both"/>
        <w:rPr>
          <w:sz w:val="22"/>
        </w:rPr>
      </w:pPr>
      <w:r>
        <w:rPr>
          <w:b/>
          <w:sz w:val="22"/>
        </w:rPr>
        <w:t>REAFFIRMS </w:t>
      </w:r>
      <w:r>
        <w:rPr>
          <w:sz w:val="22"/>
        </w:rPr>
        <w:t>its support to the Palestinian people in their legitimate struggle, by all available means, including armed combat, for the sake of recovering their usurped </w:t>
      </w:r>
      <w:r>
        <w:rPr>
          <w:spacing w:val="-2"/>
          <w:sz w:val="22"/>
        </w:rPr>
        <w:t>rights:</w:t>
      </w:r>
    </w:p>
    <w:p>
      <w:pPr>
        <w:pStyle w:val="BodyText"/>
        <w:spacing w:before="3"/>
        <w:rPr>
          <w:sz w:val="34"/>
        </w:rPr>
      </w:pPr>
    </w:p>
    <w:p>
      <w:pPr>
        <w:pStyle w:val="ListParagraph"/>
        <w:numPr>
          <w:ilvl w:val="0"/>
          <w:numId w:val="1"/>
        </w:numPr>
        <w:tabs>
          <w:tab w:pos="1185" w:val="left" w:leader="none"/>
        </w:tabs>
        <w:spacing w:line="369" w:lineRule="auto" w:before="0" w:after="0"/>
        <w:ind w:left="1184" w:right="111" w:hanging="336"/>
        <w:jc w:val="both"/>
        <w:rPr>
          <w:sz w:val="22"/>
        </w:rPr>
      </w:pPr>
      <w:r>
        <w:rPr>
          <w:b/>
          <w:sz w:val="22"/>
        </w:rPr>
        <w:t>VIGOROUSLY</w:t>
      </w:r>
      <w:r>
        <w:rPr>
          <w:b/>
          <w:spacing w:val="40"/>
          <w:sz w:val="22"/>
        </w:rPr>
        <w:t> </w:t>
      </w:r>
      <w:r>
        <w:rPr>
          <w:b/>
          <w:sz w:val="22"/>
        </w:rPr>
        <w:t>DENOUNCES</w:t>
      </w:r>
      <w:r>
        <w:rPr>
          <w:b/>
          <w:spacing w:val="40"/>
          <w:sz w:val="22"/>
        </w:rPr>
        <w:t> </w:t>
      </w:r>
      <w:r>
        <w:rPr>
          <w:sz w:val="22"/>
        </w:rPr>
        <w:t>the</w:t>
      </w:r>
      <w:r>
        <w:rPr>
          <w:spacing w:val="40"/>
          <w:sz w:val="22"/>
        </w:rPr>
        <w:t> </w:t>
      </w:r>
      <w:r>
        <w:rPr>
          <w:sz w:val="22"/>
        </w:rPr>
        <w:t>aggressive</w:t>
      </w:r>
      <w:r>
        <w:rPr>
          <w:spacing w:val="40"/>
          <w:sz w:val="22"/>
        </w:rPr>
        <w:t> </w:t>
      </w:r>
      <w:r>
        <w:rPr>
          <w:sz w:val="22"/>
        </w:rPr>
        <w:t>Israeli</w:t>
      </w:r>
      <w:r>
        <w:rPr>
          <w:spacing w:val="40"/>
          <w:sz w:val="22"/>
        </w:rPr>
        <w:t> </w:t>
      </w:r>
      <w:r>
        <w:rPr>
          <w:sz w:val="22"/>
        </w:rPr>
        <w:t>schemes</w:t>
      </w:r>
      <w:r>
        <w:rPr>
          <w:spacing w:val="40"/>
          <w:sz w:val="22"/>
        </w:rPr>
        <w:t> </w:t>
      </w:r>
      <w:r>
        <w:rPr>
          <w:sz w:val="22"/>
        </w:rPr>
        <w:t>and</w:t>
      </w:r>
      <w:r>
        <w:rPr>
          <w:spacing w:val="40"/>
          <w:sz w:val="22"/>
        </w:rPr>
        <w:t> </w:t>
      </w:r>
      <w:r>
        <w:rPr>
          <w:sz w:val="22"/>
        </w:rPr>
        <w:t>ambitions</w:t>
      </w:r>
      <w:r>
        <w:rPr>
          <w:spacing w:val="40"/>
          <w:sz w:val="22"/>
        </w:rPr>
        <w:t> </w:t>
      </w:r>
      <w:r>
        <w:rPr>
          <w:sz w:val="22"/>
        </w:rPr>
        <w:t>as well as Israel’s policy of expansion aimed at the Palestinian people, which reached its climax in the occupation of South Lebanon last March;</w:t>
      </w:r>
    </w:p>
    <w:p>
      <w:pPr>
        <w:pStyle w:val="BodyText"/>
        <w:spacing w:before="7"/>
        <w:rPr>
          <w:sz w:val="33"/>
        </w:rPr>
      </w:pPr>
    </w:p>
    <w:p>
      <w:pPr>
        <w:pStyle w:val="ListParagraph"/>
        <w:numPr>
          <w:ilvl w:val="0"/>
          <w:numId w:val="1"/>
        </w:numPr>
        <w:tabs>
          <w:tab w:pos="1185" w:val="left" w:leader="none"/>
        </w:tabs>
        <w:spacing w:line="369" w:lineRule="auto" w:before="0" w:after="0"/>
        <w:ind w:left="1184" w:right="109" w:hanging="336"/>
        <w:jc w:val="both"/>
        <w:rPr>
          <w:sz w:val="22"/>
        </w:rPr>
      </w:pPr>
      <w:r>
        <w:rPr>
          <w:b/>
          <w:sz w:val="22"/>
        </w:rPr>
        <w:t>CONDEMNS</w:t>
      </w:r>
      <w:r>
        <w:rPr>
          <w:b/>
          <w:spacing w:val="40"/>
          <w:sz w:val="22"/>
        </w:rPr>
        <w:t> </w:t>
      </w:r>
      <w:r>
        <w:rPr>
          <w:sz w:val="22"/>
        </w:rPr>
        <w:t>once</w:t>
      </w:r>
      <w:r>
        <w:rPr>
          <w:spacing w:val="40"/>
          <w:sz w:val="22"/>
        </w:rPr>
        <w:t> </w:t>
      </w:r>
      <w:r>
        <w:rPr>
          <w:sz w:val="22"/>
        </w:rPr>
        <w:t>again,</w:t>
      </w:r>
      <w:r>
        <w:rPr>
          <w:spacing w:val="40"/>
          <w:sz w:val="22"/>
        </w:rPr>
        <w:t> </w:t>
      </w:r>
      <w:r>
        <w:rPr>
          <w:sz w:val="22"/>
        </w:rPr>
        <w:t>the</w:t>
      </w:r>
      <w:r>
        <w:rPr>
          <w:spacing w:val="40"/>
          <w:sz w:val="22"/>
        </w:rPr>
        <w:t> </w:t>
      </w:r>
      <w:r>
        <w:rPr>
          <w:sz w:val="22"/>
        </w:rPr>
        <w:t>unholy</w:t>
      </w:r>
      <w:r>
        <w:rPr>
          <w:spacing w:val="40"/>
          <w:sz w:val="22"/>
        </w:rPr>
        <w:t> </w:t>
      </w:r>
      <w:r>
        <w:rPr>
          <w:sz w:val="22"/>
        </w:rPr>
        <w:t>alliance</w:t>
      </w:r>
      <w:r>
        <w:rPr>
          <w:spacing w:val="40"/>
          <w:sz w:val="22"/>
        </w:rPr>
        <w:t> </w:t>
      </w:r>
      <w:r>
        <w:rPr>
          <w:sz w:val="22"/>
        </w:rPr>
        <w:t>between</w:t>
      </w:r>
      <w:r>
        <w:rPr>
          <w:spacing w:val="40"/>
          <w:sz w:val="22"/>
        </w:rPr>
        <w:t> </w:t>
      </w:r>
      <w:r>
        <w:rPr>
          <w:sz w:val="22"/>
        </w:rPr>
        <w:t>the</w:t>
      </w:r>
      <w:r>
        <w:rPr>
          <w:spacing w:val="40"/>
          <w:sz w:val="22"/>
        </w:rPr>
        <w:t> </w:t>
      </w:r>
      <w:r>
        <w:rPr>
          <w:sz w:val="22"/>
        </w:rPr>
        <w:t>zionist</w:t>
      </w:r>
      <w:r>
        <w:rPr>
          <w:spacing w:val="40"/>
          <w:sz w:val="22"/>
        </w:rPr>
        <w:t> </w:t>
      </w:r>
      <w:r>
        <w:rPr>
          <w:sz w:val="22"/>
        </w:rPr>
        <w:t>regime</w:t>
      </w:r>
      <w:r>
        <w:rPr>
          <w:spacing w:val="40"/>
          <w:sz w:val="22"/>
        </w:rPr>
        <w:t> </w:t>
      </w:r>
      <w:r>
        <w:rPr>
          <w:sz w:val="22"/>
        </w:rPr>
        <w:t>in</w:t>
      </w:r>
      <w:r>
        <w:rPr>
          <w:spacing w:val="40"/>
          <w:sz w:val="22"/>
        </w:rPr>
        <w:t> </w:t>
      </w:r>
      <w:r>
        <w:rPr>
          <w:sz w:val="22"/>
        </w:rPr>
        <w:t>Israel and</w:t>
      </w:r>
      <w:r>
        <w:rPr>
          <w:spacing w:val="40"/>
          <w:sz w:val="22"/>
        </w:rPr>
        <w:t> </w:t>
      </w:r>
      <w:r>
        <w:rPr>
          <w:sz w:val="22"/>
        </w:rPr>
        <w:t>the</w:t>
      </w:r>
      <w:r>
        <w:rPr>
          <w:spacing w:val="40"/>
          <w:sz w:val="22"/>
        </w:rPr>
        <w:t> </w:t>
      </w:r>
      <w:r>
        <w:rPr>
          <w:sz w:val="22"/>
        </w:rPr>
        <w:t>racist</w:t>
      </w:r>
      <w:r>
        <w:rPr>
          <w:spacing w:val="40"/>
          <w:sz w:val="22"/>
        </w:rPr>
        <w:t> </w:t>
      </w:r>
      <w:r>
        <w:rPr>
          <w:sz w:val="22"/>
        </w:rPr>
        <w:t>regimes</w:t>
      </w:r>
      <w:r>
        <w:rPr>
          <w:spacing w:val="40"/>
          <w:sz w:val="22"/>
        </w:rPr>
        <w:t> </w:t>
      </w:r>
      <w:r>
        <w:rPr>
          <w:sz w:val="22"/>
        </w:rPr>
        <w:t>in</w:t>
      </w:r>
      <w:r>
        <w:rPr>
          <w:spacing w:val="40"/>
          <w:sz w:val="22"/>
        </w:rPr>
        <w:t> </w:t>
      </w:r>
      <w:r>
        <w:rPr>
          <w:sz w:val="22"/>
        </w:rPr>
        <w:t>South</w:t>
      </w:r>
      <w:r>
        <w:rPr>
          <w:spacing w:val="40"/>
          <w:sz w:val="22"/>
        </w:rPr>
        <w:t> </w:t>
      </w:r>
      <w:r>
        <w:rPr>
          <w:sz w:val="22"/>
        </w:rPr>
        <w:t>Africa,</w:t>
      </w:r>
      <w:r>
        <w:rPr>
          <w:spacing w:val="40"/>
          <w:sz w:val="22"/>
        </w:rPr>
        <w:t> </w:t>
      </w:r>
      <w:r>
        <w:rPr>
          <w:sz w:val="22"/>
        </w:rPr>
        <w:t>Zimbabwe</w:t>
      </w:r>
      <w:r>
        <w:rPr>
          <w:spacing w:val="40"/>
          <w:sz w:val="22"/>
        </w:rPr>
        <w:t> </w:t>
      </w:r>
      <w:r>
        <w:rPr>
          <w:sz w:val="22"/>
        </w:rPr>
        <w:t>and</w:t>
      </w:r>
      <w:r>
        <w:rPr>
          <w:spacing w:val="40"/>
          <w:sz w:val="22"/>
        </w:rPr>
        <w:t> </w:t>
      </w:r>
      <w:r>
        <w:rPr>
          <w:sz w:val="22"/>
        </w:rPr>
        <w:t>Namibia,</w:t>
      </w:r>
      <w:r>
        <w:rPr>
          <w:spacing w:val="40"/>
          <w:sz w:val="22"/>
        </w:rPr>
        <w:t> </w:t>
      </w:r>
      <w:r>
        <w:rPr>
          <w:sz w:val="22"/>
        </w:rPr>
        <w:t>and</w:t>
      </w:r>
      <w:r>
        <w:rPr>
          <w:spacing w:val="40"/>
          <w:sz w:val="22"/>
        </w:rPr>
        <w:t> </w:t>
      </w:r>
      <w:r>
        <w:rPr>
          <w:sz w:val="22"/>
        </w:rPr>
        <w:t>imperialism; urges</w:t>
      </w:r>
      <w:r>
        <w:rPr>
          <w:spacing w:val="37"/>
          <w:sz w:val="22"/>
        </w:rPr>
        <w:t> </w:t>
      </w:r>
      <w:r>
        <w:rPr>
          <w:sz w:val="22"/>
        </w:rPr>
        <w:t>all</w:t>
      </w:r>
      <w:r>
        <w:rPr>
          <w:spacing w:val="37"/>
          <w:sz w:val="22"/>
        </w:rPr>
        <w:t> </w:t>
      </w:r>
      <w:r>
        <w:rPr>
          <w:sz w:val="22"/>
        </w:rPr>
        <w:t>Member</w:t>
      </w:r>
      <w:r>
        <w:rPr>
          <w:spacing w:val="37"/>
          <w:sz w:val="22"/>
        </w:rPr>
        <w:t> </w:t>
      </w:r>
      <w:r>
        <w:rPr>
          <w:sz w:val="22"/>
        </w:rPr>
        <w:t>States</w:t>
      </w:r>
      <w:r>
        <w:rPr>
          <w:spacing w:val="37"/>
          <w:sz w:val="22"/>
        </w:rPr>
        <w:t> </w:t>
      </w:r>
      <w:r>
        <w:rPr>
          <w:sz w:val="22"/>
        </w:rPr>
        <w:t>to</w:t>
      </w:r>
      <w:r>
        <w:rPr>
          <w:spacing w:val="37"/>
          <w:sz w:val="22"/>
        </w:rPr>
        <w:t> </w:t>
      </w:r>
      <w:r>
        <w:rPr>
          <w:sz w:val="22"/>
        </w:rPr>
        <w:t>face</w:t>
      </w:r>
      <w:r>
        <w:rPr>
          <w:spacing w:val="37"/>
          <w:sz w:val="22"/>
        </w:rPr>
        <w:t> </w:t>
      </w:r>
      <w:r>
        <w:rPr>
          <w:sz w:val="22"/>
        </w:rPr>
        <w:t>the</w:t>
      </w:r>
      <w:r>
        <w:rPr>
          <w:spacing w:val="37"/>
          <w:sz w:val="22"/>
        </w:rPr>
        <w:t> </w:t>
      </w:r>
      <w:r>
        <w:rPr>
          <w:sz w:val="22"/>
        </w:rPr>
        <w:t>dangers</w:t>
      </w:r>
      <w:r>
        <w:rPr>
          <w:spacing w:val="37"/>
          <w:sz w:val="22"/>
        </w:rPr>
        <w:t> </w:t>
      </w:r>
      <w:r>
        <w:rPr>
          <w:sz w:val="22"/>
        </w:rPr>
        <w:t>of</w:t>
      </w:r>
      <w:r>
        <w:rPr>
          <w:spacing w:val="37"/>
          <w:sz w:val="22"/>
        </w:rPr>
        <w:t> </w:t>
      </w:r>
      <w:r>
        <w:rPr>
          <w:sz w:val="22"/>
        </w:rPr>
        <w:t>this</w:t>
      </w:r>
      <w:r>
        <w:rPr>
          <w:spacing w:val="37"/>
          <w:sz w:val="22"/>
        </w:rPr>
        <w:t> </w:t>
      </w:r>
      <w:r>
        <w:rPr>
          <w:sz w:val="22"/>
        </w:rPr>
        <w:t>alliance</w:t>
      </w:r>
      <w:r>
        <w:rPr>
          <w:spacing w:val="37"/>
          <w:sz w:val="22"/>
        </w:rPr>
        <w:t> </w:t>
      </w:r>
      <w:r>
        <w:rPr>
          <w:sz w:val="22"/>
        </w:rPr>
        <w:t>aimed</w:t>
      </w:r>
      <w:r>
        <w:rPr>
          <w:spacing w:val="37"/>
          <w:sz w:val="22"/>
        </w:rPr>
        <w:t> </w:t>
      </w:r>
      <w:r>
        <w:rPr>
          <w:sz w:val="22"/>
        </w:rPr>
        <w:t>at</w:t>
      </w:r>
      <w:r>
        <w:rPr>
          <w:spacing w:val="37"/>
          <w:sz w:val="22"/>
        </w:rPr>
        <w:t> </w:t>
      </w:r>
      <w:r>
        <w:rPr>
          <w:sz w:val="22"/>
        </w:rPr>
        <w:t>the</w:t>
      </w:r>
      <w:r>
        <w:rPr>
          <w:spacing w:val="37"/>
          <w:sz w:val="22"/>
        </w:rPr>
        <w:t> </w:t>
      </w:r>
      <w:r>
        <w:rPr>
          <w:sz w:val="22"/>
        </w:rPr>
        <w:t>Arab</w:t>
      </w:r>
      <w:r>
        <w:rPr>
          <w:spacing w:val="37"/>
          <w:sz w:val="22"/>
        </w:rPr>
        <w:t> </w:t>
      </w:r>
      <w:r>
        <w:rPr>
          <w:sz w:val="22"/>
        </w:rPr>
        <w:t>and</w:t>
      </w:r>
    </w:p>
    <w:p>
      <w:pPr>
        <w:spacing w:after="0" w:line="369" w:lineRule="auto"/>
        <w:jc w:val="both"/>
        <w:rPr>
          <w:sz w:val="22"/>
        </w:rPr>
        <w:sectPr>
          <w:pgSz w:w="12240" w:h="15840"/>
          <w:pgMar w:header="701" w:footer="0" w:top="940" w:bottom="280" w:left="1720" w:right="1440"/>
        </w:sectPr>
      </w:pPr>
    </w:p>
    <w:p>
      <w:pPr>
        <w:pStyle w:val="BodyText"/>
        <w:spacing w:line="374" w:lineRule="auto" w:before="5"/>
        <w:ind w:left="1183"/>
      </w:pPr>
      <w:r>
        <w:rPr/>
        <w:t>African</w:t>
      </w:r>
      <w:r>
        <w:rPr>
          <w:spacing w:val="40"/>
        </w:rPr>
        <w:t> </w:t>
      </w:r>
      <w:r>
        <w:rPr/>
        <w:t>peoples,</w:t>
      </w:r>
      <w:r>
        <w:rPr>
          <w:spacing w:val="40"/>
        </w:rPr>
        <w:t> </w:t>
      </w:r>
      <w:r>
        <w:rPr/>
        <w:t>while</w:t>
      </w:r>
      <w:r>
        <w:rPr>
          <w:spacing w:val="40"/>
        </w:rPr>
        <w:t> </w:t>
      </w:r>
      <w:r>
        <w:rPr/>
        <w:t>affirming</w:t>
      </w:r>
      <w:r>
        <w:rPr>
          <w:spacing w:val="40"/>
        </w:rPr>
        <w:t> </w:t>
      </w:r>
      <w:r>
        <w:rPr/>
        <w:t>that</w:t>
      </w:r>
      <w:r>
        <w:rPr>
          <w:spacing w:val="40"/>
        </w:rPr>
        <w:t> </w:t>
      </w:r>
      <w:r>
        <w:rPr/>
        <w:t>the</w:t>
      </w:r>
      <w:r>
        <w:rPr>
          <w:spacing w:val="40"/>
        </w:rPr>
        <w:t> </w:t>
      </w:r>
      <w:r>
        <w:rPr/>
        <w:t>most</w:t>
      </w:r>
      <w:r>
        <w:rPr>
          <w:spacing w:val="40"/>
        </w:rPr>
        <w:t> </w:t>
      </w:r>
      <w:r>
        <w:rPr/>
        <w:t>efficient</w:t>
      </w:r>
      <w:r>
        <w:rPr>
          <w:spacing w:val="40"/>
        </w:rPr>
        <w:t> </w:t>
      </w:r>
      <w:r>
        <w:rPr/>
        <w:t>means</w:t>
      </w:r>
      <w:r>
        <w:rPr>
          <w:spacing w:val="40"/>
        </w:rPr>
        <w:t> </w:t>
      </w:r>
      <w:r>
        <w:rPr/>
        <w:t>of</w:t>
      </w:r>
      <w:r>
        <w:rPr>
          <w:spacing w:val="40"/>
        </w:rPr>
        <w:t> </w:t>
      </w:r>
      <w:r>
        <w:rPr/>
        <w:t>facing</w:t>
      </w:r>
      <w:r>
        <w:rPr>
          <w:spacing w:val="40"/>
        </w:rPr>
        <w:t> </w:t>
      </w:r>
      <w:r>
        <w:rPr/>
        <w:t>racists,</w:t>
      </w:r>
      <w:r>
        <w:rPr>
          <w:spacing w:val="80"/>
        </w:rPr>
        <w:t> </w:t>
      </w:r>
      <w:r>
        <w:rPr/>
        <w:t>zionists and imperialists, is armed struggle;</w:t>
      </w:r>
    </w:p>
    <w:p>
      <w:pPr>
        <w:pStyle w:val="BodyText"/>
        <w:spacing w:before="2"/>
        <w:rPr>
          <w:sz w:val="33"/>
        </w:rPr>
      </w:pPr>
    </w:p>
    <w:p>
      <w:pPr>
        <w:pStyle w:val="ListParagraph"/>
        <w:numPr>
          <w:ilvl w:val="0"/>
          <w:numId w:val="1"/>
        </w:numPr>
        <w:tabs>
          <w:tab w:pos="1185" w:val="left" w:leader="none"/>
        </w:tabs>
        <w:spacing w:line="364" w:lineRule="auto" w:before="0" w:after="0"/>
        <w:ind w:left="1184" w:right="114" w:hanging="336"/>
        <w:jc w:val="both"/>
        <w:rPr>
          <w:sz w:val="22"/>
        </w:rPr>
      </w:pPr>
      <w:r>
        <w:rPr>
          <w:b/>
          <w:sz w:val="22"/>
        </w:rPr>
        <w:t>CALLS ON </w:t>
      </w:r>
      <w:r>
        <w:rPr>
          <w:sz w:val="22"/>
        </w:rPr>
        <w:t>the international community to further isolate Israel at diplomatic, economic, political and military levels, in implementation of the UN Charter;</w:t>
      </w:r>
    </w:p>
    <w:p>
      <w:pPr>
        <w:pStyle w:val="BodyText"/>
        <w:spacing w:before="6"/>
        <w:rPr>
          <w:sz w:val="34"/>
        </w:rPr>
      </w:pPr>
    </w:p>
    <w:p>
      <w:pPr>
        <w:pStyle w:val="ListParagraph"/>
        <w:numPr>
          <w:ilvl w:val="0"/>
          <w:numId w:val="1"/>
        </w:numPr>
        <w:tabs>
          <w:tab w:pos="1185" w:val="left" w:leader="none"/>
        </w:tabs>
        <w:spacing w:line="369" w:lineRule="auto" w:before="1" w:after="0"/>
        <w:ind w:left="1183" w:right="113" w:hanging="336"/>
        <w:jc w:val="both"/>
        <w:rPr>
          <w:sz w:val="22"/>
        </w:rPr>
      </w:pPr>
      <w:r>
        <w:rPr>
          <w:b/>
          <w:sz w:val="22"/>
        </w:rPr>
        <w:t>REQUESTS </w:t>
      </w:r>
      <w:r>
        <w:rPr>
          <w:sz w:val="22"/>
        </w:rPr>
        <w:t>the States that have as yet not explicitly recognized the rights of the Palestinian people, which have been sanctioned by international Charters and resolutions, and in particular the United States in America, to confirm these rights and</w:t>
      </w:r>
      <w:r>
        <w:rPr>
          <w:spacing w:val="40"/>
          <w:sz w:val="22"/>
        </w:rPr>
        <w:t> </w:t>
      </w:r>
      <w:r>
        <w:rPr>
          <w:sz w:val="22"/>
        </w:rPr>
        <w:t>to recognize the PLO as the sole legitimate representative of the Palestinian people;</w:t>
      </w:r>
    </w:p>
    <w:p>
      <w:pPr>
        <w:pStyle w:val="BodyText"/>
        <w:spacing w:before="6"/>
        <w:rPr>
          <w:sz w:val="33"/>
        </w:rPr>
      </w:pPr>
    </w:p>
    <w:p>
      <w:pPr>
        <w:pStyle w:val="ListParagraph"/>
        <w:numPr>
          <w:ilvl w:val="0"/>
          <w:numId w:val="1"/>
        </w:numPr>
        <w:tabs>
          <w:tab w:pos="1185" w:val="left" w:leader="none"/>
        </w:tabs>
        <w:spacing w:line="369" w:lineRule="auto" w:before="0" w:after="0"/>
        <w:ind w:left="1183" w:right="113" w:hanging="336"/>
        <w:jc w:val="both"/>
        <w:rPr>
          <w:sz w:val="22"/>
        </w:rPr>
      </w:pPr>
      <w:r>
        <w:rPr>
          <w:b/>
          <w:sz w:val="22"/>
        </w:rPr>
        <w:t>CONCURS </w:t>
      </w:r>
      <w:r>
        <w:rPr>
          <w:sz w:val="22"/>
        </w:rPr>
        <w:t>with the recommendations of the UN Committee entrusted with the exercising by the Palestinian people of their legitimate and inalienable rights, particularly their rights to return to their homeland, to self-determination and to the establishment of their independent state;</w:t>
      </w:r>
    </w:p>
    <w:p>
      <w:pPr>
        <w:pStyle w:val="BodyText"/>
        <w:spacing w:before="6"/>
        <w:rPr>
          <w:sz w:val="33"/>
        </w:rPr>
      </w:pPr>
    </w:p>
    <w:p>
      <w:pPr>
        <w:pStyle w:val="ListParagraph"/>
        <w:numPr>
          <w:ilvl w:val="0"/>
          <w:numId w:val="1"/>
        </w:numPr>
        <w:tabs>
          <w:tab w:pos="1185" w:val="left" w:leader="none"/>
        </w:tabs>
        <w:spacing w:line="369" w:lineRule="auto" w:before="0" w:after="0"/>
        <w:ind w:left="1183" w:right="117" w:hanging="336"/>
        <w:jc w:val="both"/>
        <w:rPr>
          <w:sz w:val="22"/>
        </w:rPr>
      </w:pPr>
      <w:r>
        <w:rPr>
          <w:b/>
          <w:sz w:val="22"/>
        </w:rPr>
        <w:t>REQUESTS </w:t>
      </w:r>
      <w:r>
        <w:rPr>
          <w:sz w:val="22"/>
        </w:rPr>
        <w:t>further that the Secretary Council reconsiders its attitude as regards the recommendations of that Committee, since they henceforth constitute the will of the International Community, as they have been adopted by the UN General Assembly at</w:t>
      </w:r>
      <w:r>
        <w:rPr>
          <w:spacing w:val="40"/>
          <w:sz w:val="22"/>
        </w:rPr>
        <w:t> </w:t>
      </w:r>
      <w:r>
        <w:rPr>
          <w:sz w:val="22"/>
        </w:rPr>
        <w:t>its Thirty-First Session;</w:t>
      </w:r>
    </w:p>
    <w:p>
      <w:pPr>
        <w:pStyle w:val="BodyText"/>
        <w:spacing w:before="11"/>
        <w:rPr>
          <w:sz w:val="33"/>
        </w:rPr>
      </w:pPr>
    </w:p>
    <w:p>
      <w:pPr>
        <w:pStyle w:val="ListParagraph"/>
        <w:numPr>
          <w:ilvl w:val="0"/>
          <w:numId w:val="1"/>
        </w:numPr>
        <w:tabs>
          <w:tab w:pos="1185" w:val="left" w:leader="none"/>
        </w:tabs>
        <w:spacing w:line="369" w:lineRule="auto" w:before="0" w:after="0"/>
        <w:ind w:left="1183" w:right="115" w:hanging="336"/>
        <w:jc w:val="both"/>
        <w:rPr>
          <w:sz w:val="22"/>
        </w:rPr>
      </w:pPr>
      <w:r>
        <w:rPr>
          <w:b/>
          <w:sz w:val="22"/>
        </w:rPr>
        <w:t>REQUESTS </w:t>
      </w:r>
      <w:r>
        <w:rPr>
          <w:sz w:val="22"/>
        </w:rPr>
        <w:t>the Administrative Secretary-General to follow the developments of the Palestinian issue and to report back to the Council of Ministers at its next Ordinary </w:t>
      </w:r>
      <w:r>
        <w:rPr>
          <w:spacing w:val="-2"/>
          <w:sz w:val="22"/>
        </w:rPr>
        <w:t>Session.</w:t>
      </w:r>
    </w:p>
    <w:sectPr>
      <w:pgSz w:w="12240" w:h="15840"/>
      <w:pgMar w:header="701" w:footer="0" w:top="9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70624" type="#_x0000_t202" id="docshape1" filled="false" stroked="false">
          <v:textbox inset="0,0,0,0">
            <w:txbxContent>
              <w:p>
                <w:pPr>
                  <w:pStyle w:val="BodyText"/>
                  <w:spacing w:before="15"/>
                  <w:ind w:left="20"/>
                </w:pPr>
                <w:r>
                  <w:rPr/>
                  <w:t>CM/Res.</w:t>
                </w:r>
                <w:r>
                  <w:rPr>
                    <w:spacing w:val="24"/>
                  </w:rPr>
                  <w:t> </w:t>
                </w:r>
                <w:r>
                  <w:rPr/>
                  <w:t>632</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981" w:right="293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1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2023-06-07T08:56:13Z</dcterms:created>
  <dcterms:modified xsi:type="dcterms:W3CDTF">2023-06-07T08:56:13Z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