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Heading1"/>
        <w:ind w:left="1534" w:right="1511"/>
        <w:jc w:val="center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ESTABLISHMENT</w:t>
      </w:r>
    </w:p>
    <w:p>
      <w:pPr>
        <w:spacing w:line="369" w:lineRule="auto" w:before="136"/>
        <w:ind w:left="1567" w:right="151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OF THE CREDENTIALS COMMITTEE OF THE COUNC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IL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OF MINISTERS OF THE OAU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5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relevant provision of the Charter of the Organization of African Unity, in particularly Articles 12 to 15,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16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Rues of Procedure of the Council of Ministers approved by the Assembly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Heads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State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Government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OAU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1964,</w:t>
      </w:r>
      <w:r>
        <w:rPr>
          <w:spacing w:val="26"/>
        </w:rPr>
        <w:t> </w:t>
      </w:r>
      <w:r>
        <w:rPr/>
        <w:t>have</w:t>
      </w:r>
      <w:r>
        <w:rPr>
          <w:spacing w:val="26"/>
        </w:rPr>
        <w:t> </w:t>
      </w:r>
      <w:r>
        <w:rPr/>
        <w:t>made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provision</w:t>
      </w:r>
      <w:r>
        <w:rPr>
          <w:spacing w:val="26"/>
        </w:rPr>
        <w:t> </w:t>
      </w:r>
      <w:r>
        <w:rPr/>
        <w:t>for the establishment of a Credentials Committee of the Council of Ministers,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72" w:lineRule="auto"/>
        <w:ind w:left="171" w:right="118" w:firstLine="676"/>
        <w:jc w:val="both"/>
      </w:pPr>
      <w:r>
        <w:rPr>
          <w:b/>
          <w:u w:val="single"/>
        </w:rPr>
        <w:t>Considering further</w:t>
      </w:r>
      <w:r>
        <w:rPr>
          <w:b/>
        </w:rPr>
        <w:t> </w:t>
      </w:r>
      <w:r>
        <w:rPr/>
        <w:t>that Rule 5 of the Rules of Procedure of the Council of Ministers provides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each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communicate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in advance, through the Administrative Secretary-General, the list of its duly accredited delegation,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need for the establishment of a Credentials Committee charged to examine the credentials of all delegates,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1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fact that such a Committee</w:t>
      </w:r>
      <w:r>
        <w:rPr>
          <w:spacing w:val="38"/>
        </w:rPr>
        <w:t> </w:t>
      </w:r>
      <w:r>
        <w:rPr/>
        <w:t>is a common feature in the machinery of</w:t>
      </w:r>
      <w:r>
        <w:rPr>
          <w:spacing w:val="40"/>
        </w:rPr>
        <w:t> </w:t>
      </w:r>
      <w:r>
        <w:rPr/>
        <w:t>many international organizations;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11" w:hanging="336"/>
        <w:jc w:val="both"/>
        <w:rPr>
          <w:sz w:val="22"/>
        </w:rPr>
      </w:pPr>
      <w:r>
        <w:rPr>
          <w:b/>
          <w:sz w:val="22"/>
        </w:rPr>
        <w:t>RESOLVES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establish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Credentials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composed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Five Members selected at the beginning of every session in a way that ensures the geographical representation of all the sub-region;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3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comply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provisions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Article</w:t>
      </w:r>
      <w:r>
        <w:rPr>
          <w:spacing w:val="40"/>
          <w:sz w:val="22"/>
        </w:rPr>
        <w:t> </w:t>
      </w:r>
      <w:r>
        <w:rPr>
          <w:sz w:val="22"/>
        </w:rPr>
        <w:t>6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Rules of Procedure regarding the credentials of their delegations;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3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 OAU Secretary-General to follow scrupulously the implementation</w:t>
      </w:r>
      <w:r>
        <w:rPr>
          <w:spacing w:val="80"/>
          <w:sz w:val="22"/>
        </w:rPr>
        <w:t> </w:t>
      </w:r>
      <w:r>
        <w:rPr>
          <w:sz w:val="22"/>
        </w:rPr>
        <w:t>of this decision.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440"/>
          <w:pgNumType w:start="1"/>
        </w:sectPr>
      </w:pPr>
    </w:p>
    <w:p>
      <w:pPr>
        <w:pStyle w:val="BodyText"/>
        <w:spacing w:before="5"/>
        <w:ind w:right="421"/>
        <w:jc w:val="right"/>
      </w:pPr>
      <w:r>
        <w:rPr>
          <w:spacing w:val="-4"/>
        </w:rPr>
        <w:t>Annex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2048"/>
        <w:rPr>
          <w:u w:val="none"/>
        </w:rPr>
      </w:pPr>
      <w:r>
        <w:rPr>
          <w:u w:val="single"/>
        </w:rPr>
        <w:t>ESTABLISHMENT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A</w:t>
      </w:r>
      <w:r>
        <w:rPr>
          <w:spacing w:val="7"/>
          <w:u w:val="single"/>
        </w:rPr>
        <w:t> </w:t>
      </w:r>
      <w:r>
        <w:rPr>
          <w:u w:val="single"/>
        </w:rPr>
        <w:t>CREDENTIALS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96"/>
        <w:ind w:left="1567" w:right="857" w:firstLine="0"/>
        <w:jc w:val="center"/>
        <w:rPr>
          <w:b/>
          <w:sz w:val="22"/>
        </w:rPr>
      </w:pPr>
      <w:r>
        <w:rPr>
          <w:b/>
          <w:spacing w:val="-2"/>
          <w:sz w:val="22"/>
          <w:u w:val="single"/>
        </w:rPr>
        <w:t>CREDENTIALS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2"/>
        <w:rPr>
          <w:u w:val="none"/>
        </w:rPr>
      </w:pPr>
      <w:r>
        <w:rPr>
          <w:u w:val="single"/>
        </w:rPr>
        <w:t>RULE</w:t>
      </w:r>
      <w:r>
        <w:rPr>
          <w:spacing w:val="10"/>
          <w:u w:val="single"/>
        </w:rPr>
        <w:t> </w:t>
      </w:r>
      <w:r>
        <w:rPr>
          <w:u w:val="single"/>
        </w:rPr>
        <w:t>5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(bis):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847" w:right="112" w:firstLine="676"/>
        <w:jc w:val="both"/>
      </w:pPr>
      <w:r>
        <w:rPr/>
        <w:t>The credentials and names of members of an accredited delegation shall be submitted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Administrative</w:t>
      </w:r>
      <w:r>
        <w:rPr>
          <w:spacing w:val="33"/>
        </w:rPr>
        <w:t> </w:t>
      </w:r>
      <w:r>
        <w:rPr/>
        <w:t>Secretary-General</w:t>
      </w:r>
      <w:r>
        <w:rPr>
          <w:spacing w:val="32"/>
        </w:rPr>
        <w:t> </w:t>
      </w:r>
      <w:r>
        <w:rPr/>
        <w:t>before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opening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meeting</w:t>
      </w:r>
      <w:r>
        <w:rPr>
          <w:spacing w:val="32"/>
        </w:rPr>
        <w:t> </w:t>
      </w:r>
      <w:r>
        <w:rPr/>
        <w:t>of the Council of Ministers.</w:t>
      </w:r>
      <w:r>
        <w:rPr>
          <w:spacing w:val="40"/>
        </w:rPr>
        <w:t> </w:t>
      </w:r>
      <w:r>
        <w:rPr/>
        <w:t>The credentials shall be issued either by the Head of State and Government or by the Minister of Foreign Affairs.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1"/>
        <w:ind w:left="3344"/>
        <w:rPr>
          <w:u w:val="none"/>
        </w:rPr>
      </w:pPr>
      <w:r>
        <w:rPr>
          <w:u w:val="single"/>
        </w:rPr>
        <w:t>CREDENTIALS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2"/>
        <w:rPr>
          <w:u w:val="none"/>
        </w:rPr>
      </w:pPr>
      <w:r>
        <w:rPr>
          <w:u w:val="single"/>
        </w:rPr>
        <w:t>RULE</w:t>
      </w:r>
      <w:r>
        <w:rPr>
          <w:spacing w:val="11"/>
          <w:u w:val="single"/>
        </w:rPr>
        <w:t> </w:t>
      </w:r>
      <w:r>
        <w:rPr>
          <w:u w:val="single"/>
        </w:rPr>
        <w:t>5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(te):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848" w:right="115" w:firstLine="676"/>
        <w:jc w:val="both"/>
      </w:pPr>
      <w:r>
        <w:rPr/>
        <w:t>A</w:t>
      </w:r>
      <w:r>
        <w:rPr>
          <w:spacing w:val="40"/>
        </w:rPr>
        <w:t> </w:t>
      </w:r>
      <w:r>
        <w:rPr/>
        <w:t>Credentials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appointed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beginning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each</w:t>
      </w:r>
      <w:r>
        <w:rPr>
          <w:spacing w:val="40"/>
        </w:rPr>
        <w:t> </w:t>
      </w:r>
      <w:r>
        <w:rPr/>
        <w:t>session. The Committee shall consist of Five Members who shall be appointed by the Council of Ministers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proposal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Chairman.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27"/>
        </w:rPr>
        <w:t> </w:t>
      </w:r>
      <w:r>
        <w:rPr/>
        <w:t>Committee</w:t>
      </w:r>
      <w:r>
        <w:rPr>
          <w:spacing w:val="27"/>
        </w:rPr>
        <w:t> </w:t>
      </w:r>
      <w:r>
        <w:rPr/>
        <w:t>shall</w:t>
      </w:r>
      <w:r>
        <w:rPr>
          <w:spacing w:val="27"/>
        </w:rPr>
        <w:t> </w:t>
      </w:r>
      <w:r>
        <w:rPr/>
        <w:t>elect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own</w:t>
      </w:r>
      <w:r>
        <w:rPr>
          <w:spacing w:val="27"/>
        </w:rPr>
        <w:t> </w:t>
      </w:r>
      <w:r>
        <w:rPr/>
        <w:t>officers. It shall examine the credentials of accredited representatives and report thereon without delay to the Council of Ministers.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0"/>
        <w:ind w:left="3435"/>
        <w:rPr>
          <w:u w:val="none"/>
        </w:rPr>
      </w:pPr>
      <w:r>
        <w:rPr>
          <w:u w:val="single"/>
        </w:rPr>
        <w:t>PROVISIONAL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ADMISSION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2"/>
        <w:rPr>
          <w:u w:val="none"/>
        </w:rPr>
      </w:pPr>
      <w:r>
        <w:rPr>
          <w:u w:val="single"/>
        </w:rPr>
        <w:t>RULE</w:t>
      </w:r>
      <w:r>
        <w:rPr>
          <w:spacing w:val="12"/>
          <w:u w:val="single"/>
        </w:rPr>
        <w:t> </w:t>
      </w:r>
      <w:r>
        <w:rPr>
          <w:u w:val="single"/>
        </w:rPr>
        <w:t>5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(cater):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72" w:lineRule="auto" w:before="96"/>
        <w:ind w:left="848" w:right="115" w:firstLine="676"/>
        <w:jc w:val="both"/>
      </w:pPr>
      <w:r>
        <w:rPr/>
        <w:t>Any representative to whose admission</w:t>
      </w:r>
      <w:r>
        <w:rPr>
          <w:spacing w:val="25"/>
        </w:rPr>
        <w:t> </w:t>
      </w:r>
      <w:r>
        <w:rPr/>
        <w:t>a Member State has made objection</w:t>
      </w:r>
      <w:r>
        <w:rPr>
          <w:spacing w:val="25"/>
        </w:rPr>
        <w:t> </w:t>
      </w:r>
      <w:r>
        <w:rPr/>
        <w:t>shall</w:t>
      </w:r>
      <w:r>
        <w:rPr>
          <w:spacing w:val="40"/>
        </w:rPr>
        <w:t> </w:t>
      </w:r>
      <w:r>
        <w:rPr/>
        <w:t>be seated provisionally with the same rights as other representative until the Credentials Committee has reported and the Council of Ministers has given its decision.</w:t>
      </w:r>
    </w:p>
    <w:sectPr>
      <w:pgSz w:w="12240" w:h="15840"/>
      <w:pgMar w:header="701" w:footer="0" w:top="9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6pt;height:14.5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9"/>
                  </w:rPr>
                  <w:t> </w:t>
                </w:r>
                <w:r>
                  <w:rPr/>
                  <w:t>633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56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848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2023-06-07T08:56:16Z</dcterms:created>
  <dcterms:modified xsi:type="dcterms:W3CDTF">2023-06-07T08:56:16Z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