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RESOLUTION</w:t>
      </w:r>
      <w:r>
        <w:rPr>
          <w:spacing w:val="5"/>
          <w:u w:val="single"/>
        </w:rPr>
        <w:t> </w:t>
      </w:r>
      <w:r>
        <w:rPr>
          <w:u w:val="single"/>
        </w:rPr>
        <w:t>ON</w:t>
      </w:r>
      <w:r>
        <w:rPr>
          <w:spacing w:val="6"/>
          <w:u w:val="single"/>
        </w:rPr>
        <w:t> </w:t>
      </w:r>
      <w:r>
        <w:rPr>
          <w:u w:val="single"/>
        </w:rPr>
        <w:t>OIL</w:t>
      </w:r>
      <w:r>
        <w:rPr>
          <w:spacing w:val="6"/>
          <w:u w:val="single"/>
        </w:rPr>
        <w:t> </w:t>
      </w:r>
      <w:r>
        <w:rPr>
          <w:spacing w:val="-2"/>
          <w:u w:val="single"/>
        </w:rPr>
        <w:t>EMBARGO</w:t>
      </w:r>
    </w:p>
    <w:p>
      <w:pPr>
        <w:pStyle w:val="BodyText"/>
        <w:rPr>
          <w:b/>
          <w:sz w:val="20"/>
        </w:rPr>
      </w:pPr>
    </w:p>
    <w:p>
      <w:pPr>
        <w:pStyle w:val="BodyText"/>
        <w:spacing w:before="10"/>
        <w:rPr>
          <w:b/>
          <w:sz w:val="16"/>
        </w:rPr>
      </w:pPr>
    </w:p>
    <w:p>
      <w:pPr>
        <w:pStyle w:val="BodyText"/>
        <w:spacing w:line="364" w:lineRule="auto" w:before="96"/>
        <w:ind w:left="171" w:right="108" w:firstLine="676"/>
        <w:jc w:val="both"/>
      </w:pPr>
      <w:r>
        <w:rPr/>
        <w:t>The Council of Ministers of the Organization of African Unity, meeting in its Thirty-First Ordinary</w:t>
      </w:r>
      <w:r>
        <w:rPr>
          <w:spacing w:val="25"/>
        </w:rPr>
        <w:t> </w:t>
      </w:r>
      <w:r>
        <w:rPr/>
        <w:t>Session</w:t>
      </w:r>
      <w:r>
        <w:rPr>
          <w:spacing w:val="25"/>
        </w:rPr>
        <w:t> </w:t>
      </w:r>
      <w:r>
        <w:rPr/>
        <w:t>in</w:t>
      </w:r>
      <w:r>
        <w:rPr>
          <w:spacing w:val="25"/>
        </w:rPr>
        <w:t> </w:t>
      </w:r>
      <w:r>
        <w:rPr/>
        <w:t>Khartoum,</w:t>
      </w:r>
      <w:r>
        <w:rPr>
          <w:spacing w:val="25"/>
        </w:rPr>
        <w:t> </w:t>
      </w:r>
      <w:r>
        <w:rPr/>
        <w:t>Democratic</w:t>
      </w:r>
      <w:r>
        <w:rPr>
          <w:spacing w:val="25"/>
        </w:rPr>
        <w:t> </w:t>
      </w:r>
      <w:r>
        <w:rPr/>
        <w:t>Republic</w:t>
      </w:r>
      <w:r>
        <w:rPr>
          <w:spacing w:val="25"/>
        </w:rPr>
        <w:t> </w:t>
      </w:r>
      <w:r>
        <w:rPr/>
        <w:t>of</w:t>
      </w:r>
      <w:r>
        <w:rPr>
          <w:spacing w:val="25"/>
        </w:rPr>
        <w:t> </w:t>
      </w:r>
      <w:r>
        <w:rPr/>
        <w:t>the</w:t>
      </w:r>
      <w:r>
        <w:rPr>
          <w:spacing w:val="25"/>
        </w:rPr>
        <w:t> </w:t>
      </w:r>
      <w:r>
        <w:rPr/>
        <w:t>Sudan,</w:t>
      </w:r>
      <w:r>
        <w:rPr>
          <w:spacing w:val="25"/>
        </w:rPr>
        <w:t> </w:t>
      </w:r>
      <w:r>
        <w:rPr/>
        <w:t>from</w:t>
      </w:r>
      <w:r>
        <w:rPr>
          <w:spacing w:val="25"/>
        </w:rPr>
        <w:t> </w:t>
      </w:r>
      <w:r>
        <w:rPr/>
        <w:t>7</w:t>
      </w:r>
      <w:r>
        <w:rPr>
          <w:spacing w:val="25"/>
        </w:rPr>
        <w:t> </w:t>
      </w:r>
      <w:r>
        <w:rPr/>
        <w:t>to</w:t>
      </w:r>
      <w:r>
        <w:rPr>
          <w:spacing w:val="25"/>
        </w:rPr>
        <w:t> </w:t>
      </w:r>
      <w:r>
        <w:rPr/>
        <w:t>18</w:t>
      </w:r>
      <w:r>
        <w:rPr>
          <w:spacing w:val="37"/>
        </w:rPr>
        <w:t> </w:t>
      </w:r>
      <w:r>
        <w:rPr/>
        <w:t>July</w:t>
      </w:r>
      <w:r>
        <w:rPr>
          <w:spacing w:val="29"/>
        </w:rPr>
        <w:t> </w:t>
      </w:r>
      <w:r>
        <w:rPr/>
        <w:t>1978,</w:t>
      </w:r>
    </w:p>
    <w:p>
      <w:pPr>
        <w:pStyle w:val="BodyText"/>
        <w:spacing w:before="6"/>
        <w:rPr>
          <w:sz w:val="34"/>
        </w:rPr>
      </w:pPr>
    </w:p>
    <w:p>
      <w:pPr>
        <w:pStyle w:val="BodyText"/>
        <w:spacing w:line="369" w:lineRule="auto"/>
        <w:ind w:left="171" w:right="116" w:firstLine="676"/>
        <w:jc w:val="both"/>
      </w:pPr>
      <w:r>
        <w:rPr>
          <w:b/>
          <w:u w:val="single"/>
        </w:rPr>
        <w:t>Having heard</w:t>
      </w:r>
      <w:r>
        <w:rPr>
          <w:b/>
        </w:rPr>
        <w:t> </w:t>
      </w:r>
      <w:r>
        <w:rPr/>
        <w:t>the report of the OAU Committee of Seven on its mission to the major oil- exporting countries (document CM/886 (XXXI),</w:t>
      </w:r>
    </w:p>
    <w:p>
      <w:pPr>
        <w:pStyle w:val="BodyText"/>
        <w:spacing w:before="8"/>
        <w:rPr>
          <w:sz w:val="33"/>
        </w:rPr>
      </w:pPr>
    </w:p>
    <w:p>
      <w:pPr>
        <w:pStyle w:val="BodyText"/>
        <w:spacing w:line="369" w:lineRule="auto"/>
        <w:ind w:left="171" w:right="114" w:firstLine="676"/>
        <w:jc w:val="both"/>
      </w:pPr>
      <w:r>
        <w:rPr>
          <w:b/>
          <w:u w:val="single"/>
        </w:rPr>
        <w:t>Satisfied</w:t>
      </w:r>
      <w:r>
        <w:rPr>
          <w:b/>
          <w:spacing w:val="40"/>
        </w:rPr>
        <w:t> </w:t>
      </w:r>
      <w:r>
        <w:rPr/>
        <w:t>with</w:t>
      </w:r>
      <w:r>
        <w:rPr>
          <w:spacing w:val="40"/>
        </w:rPr>
        <w:t> </w:t>
      </w:r>
      <w:r>
        <w:rPr/>
        <w:t>the</w:t>
      </w:r>
      <w:r>
        <w:rPr>
          <w:spacing w:val="40"/>
        </w:rPr>
        <w:t> </w:t>
      </w:r>
      <w:r>
        <w:rPr/>
        <w:t>particularly</w:t>
      </w:r>
      <w:r>
        <w:rPr>
          <w:spacing w:val="40"/>
        </w:rPr>
        <w:t> </w:t>
      </w:r>
      <w:r>
        <w:rPr/>
        <w:t>warm</w:t>
      </w:r>
      <w:r>
        <w:rPr>
          <w:spacing w:val="40"/>
        </w:rPr>
        <w:t> </w:t>
      </w:r>
      <w:r>
        <w:rPr/>
        <w:t>welcome</w:t>
      </w:r>
      <w:r>
        <w:rPr>
          <w:spacing w:val="40"/>
        </w:rPr>
        <w:t> </w:t>
      </w:r>
      <w:r>
        <w:rPr/>
        <w:t>accorded</w:t>
      </w:r>
      <w:r>
        <w:rPr>
          <w:spacing w:val="40"/>
        </w:rPr>
        <w:t> </w:t>
      </w:r>
      <w:r>
        <w:rPr/>
        <w:t>to</w:t>
      </w:r>
      <w:r>
        <w:rPr>
          <w:spacing w:val="40"/>
        </w:rPr>
        <w:t> </w:t>
      </w:r>
      <w:r>
        <w:rPr/>
        <w:t>the</w:t>
      </w:r>
      <w:r>
        <w:rPr>
          <w:spacing w:val="40"/>
        </w:rPr>
        <w:t> </w:t>
      </w:r>
      <w:r>
        <w:rPr/>
        <w:t>Committee</w:t>
      </w:r>
      <w:r>
        <w:rPr>
          <w:spacing w:val="40"/>
        </w:rPr>
        <w:t> </w:t>
      </w:r>
      <w:r>
        <w:rPr/>
        <w:t>by</w:t>
      </w:r>
      <w:r>
        <w:rPr>
          <w:spacing w:val="40"/>
        </w:rPr>
        <w:t> </w:t>
      </w:r>
      <w:r>
        <w:rPr/>
        <w:t>all</w:t>
      </w:r>
      <w:r>
        <w:rPr>
          <w:spacing w:val="40"/>
        </w:rPr>
        <w:t> </w:t>
      </w:r>
      <w:r>
        <w:rPr/>
        <w:t>the States visited,</w:t>
      </w:r>
    </w:p>
    <w:p>
      <w:pPr>
        <w:pStyle w:val="BodyText"/>
        <w:spacing w:before="8"/>
        <w:rPr>
          <w:sz w:val="33"/>
        </w:rPr>
      </w:pPr>
    </w:p>
    <w:p>
      <w:pPr>
        <w:pStyle w:val="BodyText"/>
        <w:spacing w:line="372" w:lineRule="auto"/>
        <w:ind w:left="171" w:right="117" w:firstLine="676"/>
        <w:jc w:val="both"/>
      </w:pPr>
      <w:r>
        <w:rPr>
          <w:b/>
          <w:u w:val="single"/>
        </w:rPr>
        <w:t>Deeply</w:t>
      </w:r>
      <w:r>
        <w:rPr>
          <w:b/>
          <w:spacing w:val="40"/>
          <w:u w:val="single"/>
        </w:rPr>
        <w:t> </w:t>
      </w:r>
      <w:r>
        <w:rPr>
          <w:b/>
          <w:u w:val="single"/>
        </w:rPr>
        <w:t>shocked</w:t>
      </w:r>
      <w:r>
        <w:rPr>
          <w:b/>
          <w:spacing w:val="40"/>
        </w:rPr>
        <w:t> </w:t>
      </w:r>
      <w:r>
        <w:rPr/>
        <w:t>by</w:t>
      </w:r>
      <w:r>
        <w:rPr>
          <w:spacing w:val="40"/>
        </w:rPr>
        <w:t> </w:t>
      </w:r>
      <w:r>
        <w:rPr/>
        <w:t>the</w:t>
      </w:r>
      <w:r>
        <w:rPr>
          <w:spacing w:val="40"/>
        </w:rPr>
        <w:t> </w:t>
      </w:r>
      <w:r>
        <w:rPr/>
        <w:t>negative</w:t>
      </w:r>
      <w:r>
        <w:rPr>
          <w:spacing w:val="40"/>
        </w:rPr>
        <w:t> </w:t>
      </w:r>
      <w:r>
        <w:rPr/>
        <w:t>and</w:t>
      </w:r>
      <w:r>
        <w:rPr>
          <w:spacing w:val="40"/>
        </w:rPr>
        <w:t> </w:t>
      </w:r>
      <w:r>
        <w:rPr/>
        <w:t>unfriendly</w:t>
      </w:r>
      <w:r>
        <w:rPr>
          <w:spacing w:val="40"/>
        </w:rPr>
        <w:t> </w:t>
      </w:r>
      <w:r>
        <w:rPr/>
        <w:t>attitude</w:t>
      </w:r>
      <w:r>
        <w:rPr>
          <w:spacing w:val="40"/>
        </w:rPr>
        <w:t> </w:t>
      </w:r>
      <w:r>
        <w:rPr/>
        <w:t>adopted</w:t>
      </w:r>
      <w:r>
        <w:rPr>
          <w:spacing w:val="40"/>
        </w:rPr>
        <w:t> </w:t>
      </w:r>
      <w:r>
        <w:rPr/>
        <w:t>by</w:t>
      </w:r>
      <w:r>
        <w:rPr>
          <w:spacing w:val="40"/>
        </w:rPr>
        <w:t> </w:t>
      </w:r>
      <w:r>
        <w:rPr/>
        <w:t>Iran</w:t>
      </w:r>
      <w:r>
        <w:rPr>
          <w:spacing w:val="40"/>
        </w:rPr>
        <w:t> </w:t>
      </w:r>
      <w:r>
        <w:rPr/>
        <w:t>towards</w:t>
      </w:r>
      <w:r>
        <w:rPr>
          <w:spacing w:val="40"/>
        </w:rPr>
        <w:t> </w:t>
      </w:r>
      <w:r>
        <w:rPr/>
        <w:t>the OAU Committee of Seven in categorically refusing to receive and hold discussions with the </w:t>
      </w:r>
      <w:r>
        <w:rPr>
          <w:spacing w:val="-2"/>
        </w:rPr>
        <w:t>Committee,</w:t>
      </w:r>
    </w:p>
    <w:p>
      <w:pPr>
        <w:pStyle w:val="BodyText"/>
        <w:spacing w:before="11"/>
        <w:rPr>
          <w:sz w:val="32"/>
        </w:rPr>
      </w:pPr>
    </w:p>
    <w:p>
      <w:pPr>
        <w:pStyle w:val="BodyText"/>
        <w:spacing w:line="374" w:lineRule="auto"/>
        <w:ind w:left="171" w:right="118" w:firstLine="676"/>
        <w:jc w:val="both"/>
      </w:pPr>
      <w:r>
        <w:rPr>
          <w:b/>
          <w:u w:val="single"/>
        </w:rPr>
        <w:t>Noting with regret</w:t>
      </w:r>
      <w:r>
        <w:rPr>
          <w:b/>
        </w:rPr>
        <w:t> </w:t>
      </w:r>
      <w:r>
        <w:rPr/>
        <w:t>that nearly ninety per cent of the oil and oil products supplied to the apartheid regime of South Africa come from Iran,</w:t>
      </w:r>
    </w:p>
    <w:p>
      <w:pPr>
        <w:pStyle w:val="BodyText"/>
        <w:spacing w:before="2"/>
        <w:rPr>
          <w:sz w:val="33"/>
        </w:rPr>
      </w:pPr>
    </w:p>
    <w:p>
      <w:pPr>
        <w:pStyle w:val="BodyText"/>
        <w:spacing w:line="369" w:lineRule="auto"/>
        <w:ind w:left="171" w:right="127" w:firstLine="676"/>
        <w:jc w:val="both"/>
      </w:pPr>
      <w:r>
        <w:rPr>
          <w:b/>
          <w:u w:val="single"/>
        </w:rPr>
        <w:t>Convinced</w:t>
      </w:r>
      <w:r>
        <w:rPr>
          <w:b/>
          <w:spacing w:val="26"/>
        </w:rPr>
        <w:t> </w:t>
      </w:r>
      <w:r>
        <w:rPr/>
        <w:t>that</w:t>
      </w:r>
      <w:r>
        <w:rPr>
          <w:spacing w:val="21"/>
        </w:rPr>
        <w:t> </w:t>
      </w:r>
      <w:r>
        <w:rPr/>
        <w:t>a</w:t>
      </w:r>
      <w:r>
        <w:rPr>
          <w:spacing w:val="21"/>
        </w:rPr>
        <w:t> </w:t>
      </w:r>
      <w:r>
        <w:rPr/>
        <w:t>strict</w:t>
      </w:r>
      <w:r>
        <w:rPr>
          <w:spacing w:val="21"/>
        </w:rPr>
        <w:t> </w:t>
      </w:r>
      <w:r>
        <w:rPr/>
        <w:t>and</w:t>
      </w:r>
      <w:r>
        <w:rPr>
          <w:spacing w:val="21"/>
        </w:rPr>
        <w:t> </w:t>
      </w:r>
      <w:r>
        <w:rPr/>
        <w:t>total</w:t>
      </w:r>
      <w:r>
        <w:rPr>
          <w:spacing w:val="21"/>
        </w:rPr>
        <w:t> </w:t>
      </w:r>
      <w:r>
        <w:rPr/>
        <w:t>oil</w:t>
      </w:r>
      <w:r>
        <w:rPr>
          <w:spacing w:val="21"/>
        </w:rPr>
        <w:t> </w:t>
      </w:r>
      <w:r>
        <w:rPr/>
        <w:t>embargo</w:t>
      </w:r>
      <w:r>
        <w:rPr>
          <w:spacing w:val="21"/>
        </w:rPr>
        <w:t> </w:t>
      </w:r>
      <w:r>
        <w:rPr/>
        <w:t>against</w:t>
      </w:r>
      <w:r>
        <w:rPr>
          <w:spacing w:val="21"/>
        </w:rPr>
        <w:t> </w:t>
      </w:r>
      <w:r>
        <w:rPr/>
        <w:t>the</w:t>
      </w:r>
      <w:r>
        <w:rPr>
          <w:spacing w:val="21"/>
        </w:rPr>
        <w:t> </w:t>
      </w:r>
      <w:r>
        <w:rPr/>
        <w:t>white</w:t>
      </w:r>
      <w:r>
        <w:rPr>
          <w:spacing w:val="21"/>
        </w:rPr>
        <w:t> </w:t>
      </w:r>
      <w:r>
        <w:rPr/>
        <w:t>Minority</w:t>
      </w:r>
      <w:r>
        <w:rPr>
          <w:spacing w:val="21"/>
        </w:rPr>
        <w:t> </w:t>
      </w:r>
      <w:r>
        <w:rPr/>
        <w:t>Racist</w:t>
      </w:r>
      <w:r>
        <w:rPr>
          <w:spacing w:val="21"/>
        </w:rPr>
        <w:t> </w:t>
      </w:r>
      <w:r>
        <w:rPr/>
        <w:t>Regimes of South Africa and Rhodesia would bring about a rapid and positive change in that region,</w:t>
      </w:r>
    </w:p>
    <w:p>
      <w:pPr>
        <w:pStyle w:val="BodyText"/>
        <w:spacing w:before="8"/>
        <w:rPr>
          <w:sz w:val="33"/>
        </w:rPr>
      </w:pPr>
    </w:p>
    <w:p>
      <w:pPr>
        <w:pStyle w:val="BodyText"/>
        <w:spacing w:line="369" w:lineRule="auto"/>
        <w:ind w:left="171" w:right="118" w:firstLine="677"/>
        <w:jc w:val="both"/>
      </w:pPr>
      <w:r>
        <w:rPr>
          <w:b/>
          <w:u w:val="single"/>
        </w:rPr>
        <w:t>Further convinced</w:t>
      </w:r>
      <w:r>
        <w:rPr>
          <w:b/>
        </w:rPr>
        <w:t> </w:t>
      </w:r>
      <w:r>
        <w:rPr/>
        <w:t>of the necessity of establishing a permanent and effective machinery</w:t>
      </w:r>
      <w:r>
        <w:rPr>
          <w:spacing w:val="40"/>
        </w:rPr>
        <w:t> </w:t>
      </w:r>
      <w:r>
        <w:rPr/>
        <w:t>for the application of sanctions and oil embargo against illegal and racist regimes in Southern </w:t>
      </w:r>
      <w:r>
        <w:rPr>
          <w:spacing w:val="-2"/>
        </w:rPr>
        <w:t>Africa,</w:t>
      </w:r>
    </w:p>
    <w:p>
      <w:pPr>
        <w:pStyle w:val="BodyText"/>
        <w:rPr>
          <w:sz w:val="34"/>
        </w:rPr>
      </w:pPr>
    </w:p>
    <w:p>
      <w:pPr>
        <w:pStyle w:val="BodyText"/>
        <w:spacing w:line="364" w:lineRule="auto"/>
        <w:ind w:left="171" w:right="118" w:firstLine="676"/>
        <w:jc w:val="both"/>
      </w:pPr>
      <w:r>
        <w:rPr>
          <w:b/>
          <w:u w:val="single"/>
        </w:rPr>
        <w:t>Considering</w:t>
      </w:r>
      <w:r>
        <w:rPr>
          <w:b/>
        </w:rPr>
        <w:t> </w:t>
      </w:r>
      <w:r>
        <w:rPr/>
        <w:t>the need to call on the services of groups of experts on the application of sanctions in order to ensure greater effectiveness:</w:t>
      </w:r>
    </w:p>
    <w:p>
      <w:pPr>
        <w:pStyle w:val="BodyText"/>
        <w:spacing w:before="6"/>
        <w:rPr>
          <w:sz w:val="34"/>
        </w:rPr>
      </w:pPr>
    </w:p>
    <w:p>
      <w:pPr>
        <w:pStyle w:val="ListParagraph"/>
        <w:numPr>
          <w:ilvl w:val="0"/>
          <w:numId w:val="1"/>
        </w:numPr>
        <w:tabs>
          <w:tab w:pos="1185" w:val="left" w:leader="none"/>
        </w:tabs>
        <w:spacing w:line="369" w:lineRule="auto" w:before="1" w:after="0"/>
        <w:ind w:left="1184" w:right="118" w:hanging="336"/>
        <w:jc w:val="both"/>
        <w:rPr>
          <w:sz w:val="22"/>
        </w:rPr>
      </w:pPr>
      <w:r>
        <w:rPr>
          <w:b/>
          <w:sz w:val="22"/>
        </w:rPr>
        <w:t>TAKES NOTE </w:t>
      </w:r>
      <w:r>
        <w:rPr>
          <w:sz w:val="22"/>
        </w:rPr>
        <w:t>with the greatest satisfaction of the report of the OAU Committee of Seven on Oil Embargo (document CM/886 (XXXI) Rev. 1 and ADOPTS the recommendations made by that Committee;</w:t>
      </w:r>
    </w:p>
    <w:p>
      <w:pPr>
        <w:pStyle w:val="BodyText"/>
        <w:spacing w:before="6"/>
        <w:rPr>
          <w:sz w:val="33"/>
        </w:rPr>
      </w:pPr>
    </w:p>
    <w:p>
      <w:pPr>
        <w:pStyle w:val="ListParagraph"/>
        <w:numPr>
          <w:ilvl w:val="0"/>
          <w:numId w:val="1"/>
        </w:numPr>
        <w:tabs>
          <w:tab w:pos="1185" w:val="left" w:leader="none"/>
        </w:tabs>
        <w:spacing w:line="369" w:lineRule="auto" w:before="1" w:after="0"/>
        <w:ind w:left="1184" w:right="114" w:hanging="336"/>
        <w:jc w:val="both"/>
        <w:rPr>
          <w:sz w:val="22"/>
        </w:rPr>
      </w:pPr>
      <w:r>
        <w:rPr>
          <w:b/>
          <w:sz w:val="22"/>
        </w:rPr>
        <w:t>WARMLY COMMENDS </w:t>
      </w:r>
      <w:r>
        <w:rPr>
          <w:sz w:val="22"/>
        </w:rPr>
        <w:t>the OAU Committee of Seven for its useful and fruitful </w:t>
      </w:r>
      <w:r>
        <w:rPr>
          <w:spacing w:val="-2"/>
          <w:sz w:val="22"/>
        </w:rPr>
        <w:t>work;</w:t>
      </w:r>
    </w:p>
    <w:p>
      <w:pPr>
        <w:spacing w:after="0" w:line="369" w:lineRule="auto"/>
        <w:jc w:val="both"/>
        <w:rPr>
          <w:sz w:val="22"/>
        </w:rPr>
        <w:sectPr>
          <w:headerReference w:type="default" r:id="rId5"/>
          <w:type w:val="continuous"/>
          <w:pgSz w:w="12240" w:h="15840"/>
          <w:pgMar w:header="701" w:footer="0" w:top="940" w:bottom="280" w:left="1720" w:right="1440"/>
          <w:pgNumType w:start="1"/>
        </w:sectPr>
      </w:pPr>
    </w:p>
    <w:p>
      <w:pPr>
        <w:pStyle w:val="ListParagraph"/>
        <w:numPr>
          <w:ilvl w:val="0"/>
          <w:numId w:val="1"/>
        </w:numPr>
        <w:tabs>
          <w:tab w:pos="1185" w:val="left" w:leader="none"/>
        </w:tabs>
        <w:spacing w:line="369" w:lineRule="auto" w:before="5" w:after="0"/>
        <w:ind w:left="1183" w:right="111" w:hanging="336"/>
        <w:jc w:val="both"/>
        <w:rPr>
          <w:sz w:val="22"/>
        </w:rPr>
      </w:pPr>
      <w:r>
        <w:rPr>
          <w:b/>
          <w:sz w:val="22"/>
        </w:rPr>
        <w:t>EXPRESSES </w:t>
      </w:r>
      <w:r>
        <w:rPr>
          <w:sz w:val="22"/>
        </w:rPr>
        <w:t>its gratitude to Ecuador, Indonesia, Iraq, Malaysia, Kuwait, Quatar, Kingdom of Saudi Arabia, the United Arab Emirates and Venezuela for the cordial, fraternal and friendly welcome accorded to the OAU Committee of Seven on Oil </w:t>
      </w:r>
      <w:r>
        <w:rPr>
          <w:spacing w:val="-2"/>
          <w:sz w:val="22"/>
        </w:rPr>
        <w:t>Embargo;</w:t>
      </w:r>
    </w:p>
    <w:p>
      <w:pPr>
        <w:pStyle w:val="BodyText"/>
        <w:spacing w:before="11"/>
        <w:rPr>
          <w:sz w:val="33"/>
        </w:rPr>
      </w:pPr>
    </w:p>
    <w:p>
      <w:pPr>
        <w:pStyle w:val="ListParagraph"/>
        <w:numPr>
          <w:ilvl w:val="0"/>
          <w:numId w:val="1"/>
        </w:numPr>
        <w:tabs>
          <w:tab w:pos="1185" w:val="left" w:leader="none"/>
        </w:tabs>
        <w:spacing w:line="369" w:lineRule="auto" w:before="0" w:after="0"/>
        <w:ind w:left="1183" w:right="115" w:hanging="336"/>
        <w:jc w:val="both"/>
        <w:rPr>
          <w:sz w:val="22"/>
        </w:rPr>
      </w:pPr>
      <w:r>
        <w:rPr>
          <w:b/>
          <w:sz w:val="22"/>
        </w:rPr>
        <w:t>EXPRESSES</w:t>
      </w:r>
      <w:r>
        <w:rPr>
          <w:b/>
          <w:spacing w:val="40"/>
          <w:sz w:val="22"/>
        </w:rPr>
        <w:t> </w:t>
      </w:r>
      <w:r>
        <w:rPr>
          <w:sz w:val="22"/>
        </w:rPr>
        <w:t>its</w:t>
      </w:r>
      <w:r>
        <w:rPr>
          <w:spacing w:val="40"/>
          <w:sz w:val="22"/>
        </w:rPr>
        <w:t> </w:t>
      </w:r>
      <w:r>
        <w:rPr>
          <w:sz w:val="22"/>
        </w:rPr>
        <w:t>indignation</w:t>
      </w:r>
      <w:r>
        <w:rPr>
          <w:spacing w:val="40"/>
          <w:sz w:val="22"/>
        </w:rPr>
        <w:t> </w:t>
      </w:r>
      <w:r>
        <w:rPr>
          <w:sz w:val="22"/>
        </w:rPr>
        <w:t>at</w:t>
      </w:r>
      <w:r>
        <w:rPr>
          <w:spacing w:val="40"/>
          <w:sz w:val="22"/>
        </w:rPr>
        <w:t> </w:t>
      </w:r>
      <w:r>
        <w:rPr>
          <w:sz w:val="22"/>
        </w:rPr>
        <w:t>Iran</w:t>
      </w:r>
      <w:r>
        <w:rPr>
          <w:spacing w:val="40"/>
          <w:sz w:val="22"/>
        </w:rPr>
        <w:t> </w:t>
      </w:r>
      <w:r>
        <w:rPr>
          <w:sz w:val="22"/>
        </w:rPr>
        <w:t>for</w:t>
      </w:r>
      <w:r>
        <w:rPr>
          <w:spacing w:val="40"/>
          <w:sz w:val="22"/>
        </w:rPr>
        <w:t> </w:t>
      </w:r>
      <w:r>
        <w:rPr>
          <w:sz w:val="22"/>
        </w:rPr>
        <w:t>having</w:t>
      </w:r>
      <w:r>
        <w:rPr>
          <w:spacing w:val="40"/>
          <w:sz w:val="22"/>
        </w:rPr>
        <w:t> </w:t>
      </w:r>
      <w:r>
        <w:rPr>
          <w:sz w:val="22"/>
        </w:rPr>
        <w:t>categorically</w:t>
      </w:r>
      <w:r>
        <w:rPr>
          <w:spacing w:val="40"/>
          <w:sz w:val="22"/>
        </w:rPr>
        <w:t> </w:t>
      </w:r>
      <w:r>
        <w:rPr>
          <w:sz w:val="22"/>
        </w:rPr>
        <w:t>rejected</w:t>
      </w:r>
      <w:r>
        <w:rPr>
          <w:spacing w:val="40"/>
          <w:sz w:val="22"/>
        </w:rPr>
        <w:t> </w:t>
      </w:r>
      <w:r>
        <w:rPr>
          <w:sz w:val="22"/>
        </w:rPr>
        <w:t>the</w:t>
      </w:r>
      <w:r>
        <w:rPr>
          <w:spacing w:val="40"/>
          <w:sz w:val="22"/>
        </w:rPr>
        <w:t> </w:t>
      </w:r>
      <w:r>
        <w:rPr>
          <w:sz w:val="22"/>
        </w:rPr>
        <w:t>request from the</w:t>
      </w:r>
      <w:r>
        <w:rPr>
          <w:spacing w:val="80"/>
          <w:sz w:val="22"/>
        </w:rPr>
        <w:t> </w:t>
      </w:r>
      <w:r>
        <w:rPr>
          <w:sz w:val="22"/>
        </w:rPr>
        <w:t>OAU Committee of Seven, to be received by the authorities of Iran in order</w:t>
      </w:r>
      <w:r>
        <w:rPr>
          <w:spacing w:val="80"/>
          <w:sz w:val="22"/>
        </w:rPr>
        <w:t> </w:t>
      </w:r>
      <w:r>
        <w:rPr>
          <w:sz w:val="22"/>
        </w:rPr>
        <w:t>to</w:t>
      </w:r>
      <w:r>
        <w:rPr>
          <w:spacing w:val="27"/>
          <w:sz w:val="22"/>
        </w:rPr>
        <w:t> </w:t>
      </w:r>
      <w:r>
        <w:rPr>
          <w:sz w:val="22"/>
        </w:rPr>
        <w:t>hold</w:t>
      </w:r>
      <w:r>
        <w:rPr>
          <w:spacing w:val="28"/>
          <w:sz w:val="22"/>
        </w:rPr>
        <w:t> </w:t>
      </w:r>
      <w:r>
        <w:rPr>
          <w:sz w:val="22"/>
        </w:rPr>
        <w:t>consultations</w:t>
      </w:r>
      <w:r>
        <w:rPr>
          <w:spacing w:val="27"/>
          <w:sz w:val="22"/>
        </w:rPr>
        <w:t> </w:t>
      </w:r>
      <w:r>
        <w:rPr>
          <w:sz w:val="22"/>
        </w:rPr>
        <w:t>with</w:t>
      </w:r>
      <w:r>
        <w:rPr>
          <w:spacing w:val="20"/>
          <w:sz w:val="22"/>
        </w:rPr>
        <w:t> </w:t>
      </w:r>
      <w:r>
        <w:rPr>
          <w:sz w:val="22"/>
        </w:rPr>
        <w:t>them</w:t>
      </w:r>
      <w:r>
        <w:rPr>
          <w:spacing w:val="20"/>
          <w:sz w:val="22"/>
        </w:rPr>
        <w:t> </w:t>
      </w:r>
      <w:r>
        <w:rPr>
          <w:sz w:val="22"/>
        </w:rPr>
        <w:t>and</w:t>
      </w:r>
      <w:r>
        <w:rPr>
          <w:spacing w:val="21"/>
          <w:sz w:val="22"/>
        </w:rPr>
        <w:t> </w:t>
      </w:r>
      <w:r>
        <w:rPr>
          <w:sz w:val="22"/>
        </w:rPr>
        <w:t>for</w:t>
      </w:r>
      <w:r>
        <w:rPr>
          <w:spacing w:val="20"/>
          <w:sz w:val="22"/>
        </w:rPr>
        <w:t> </w:t>
      </w:r>
      <w:r>
        <w:rPr>
          <w:sz w:val="22"/>
        </w:rPr>
        <w:t>its</w:t>
      </w:r>
      <w:r>
        <w:rPr>
          <w:spacing w:val="20"/>
          <w:sz w:val="22"/>
        </w:rPr>
        <w:t> </w:t>
      </w:r>
      <w:r>
        <w:rPr>
          <w:sz w:val="22"/>
        </w:rPr>
        <w:t>collusion</w:t>
      </w:r>
      <w:r>
        <w:rPr>
          <w:spacing w:val="21"/>
          <w:sz w:val="22"/>
        </w:rPr>
        <w:t> </w:t>
      </w:r>
      <w:r>
        <w:rPr>
          <w:sz w:val="22"/>
        </w:rPr>
        <w:t>with</w:t>
      </w:r>
      <w:r>
        <w:rPr>
          <w:spacing w:val="21"/>
          <w:sz w:val="22"/>
        </w:rPr>
        <w:t> </w:t>
      </w:r>
      <w:r>
        <w:rPr>
          <w:sz w:val="22"/>
        </w:rPr>
        <w:t>the</w:t>
      </w:r>
      <w:r>
        <w:rPr>
          <w:spacing w:val="20"/>
          <w:sz w:val="22"/>
        </w:rPr>
        <w:t> </w:t>
      </w:r>
      <w:r>
        <w:rPr>
          <w:sz w:val="22"/>
        </w:rPr>
        <w:t>racist</w:t>
      </w:r>
      <w:r>
        <w:rPr>
          <w:spacing w:val="20"/>
          <w:sz w:val="22"/>
        </w:rPr>
        <w:t> </w:t>
      </w:r>
      <w:r>
        <w:rPr>
          <w:sz w:val="22"/>
        </w:rPr>
        <w:t>minority</w:t>
      </w:r>
      <w:r>
        <w:rPr>
          <w:spacing w:val="20"/>
          <w:sz w:val="22"/>
        </w:rPr>
        <w:t> </w:t>
      </w:r>
      <w:r>
        <w:rPr>
          <w:sz w:val="22"/>
        </w:rPr>
        <w:t>regimes of Southern Africa;</w:t>
      </w:r>
    </w:p>
    <w:p>
      <w:pPr>
        <w:pStyle w:val="BodyText"/>
        <w:spacing w:before="6"/>
        <w:rPr>
          <w:sz w:val="33"/>
        </w:rPr>
      </w:pPr>
    </w:p>
    <w:p>
      <w:pPr>
        <w:pStyle w:val="ListParagraph"/>
        <w:numPr>
          <w:ilvl w:val="0"/>
          <w:numId w:val="1"/>
        </w:numPr>
        <w:tabs>
          <w:tab w:pos="1185" w:val="left" w:leader="none"/>
        </w:tabs>
        <w:spacing w:line="369" w:lineRule="auto" w:before="0" w:after="0"/>
        <w:ind w:left="1184" w:right="112" w:hanging="336"/>
        <w:jc w:val="both"/>
        <w:rPr>
          <w:sz w:val="22"/>
        </w:rPr>
      </w:pPr>
      <w:r>
        <w:rPr>
          <w:b/>
          <w:sz w:val="22"/>
        </w:rPr>
        <w:t>REQUESTS</w:t>
      </w:r>
      <w:r>
        <w:rPr>
          <w:b/>
          <w:spacing w:val="40"/>
          <w:sz w:val="22"/>
        </w:rPr>
        <w:t> </w:t>
      </w:r>
      <w:r>
        <w:rPr>
          <w:sz w:val="22"/>
        </w:rPr>
        <w:t>the oil producing African States and Members of OPEC to exert all</w:t>
      </w:r>
      <w:r>
        <w:rPr>
          <w:spacing w:val="40"/>
          <w:sz w:val="22"/>
        </w:rPr>
        <w:t> </w:t>
      </w:r>
      <w:r>
        <w:rPr>
          <w:sz w:val="22"/>
        </w:rPr>
        <w:t>efforts within their Organization with the view to ensuring respect by all members for the oil embargo against the racist regimes of Southern Africa;</w:t>
      </w:r>
    </w:p>
    <w:p>
      <w:pPr>
        <w:pStyle w:val="BodyText"/>
        <w:rPr>
          <w:sz w:val="34"/>
        </w:rPr>
      </w:pPr>
    </w:p>
    <w:p>
      <w:pPr>
        <w:pStyle w:val="ListParagraph"/>
        <w:numPr>
          <w:ilvl w:val="0"/>
          <w:numId w:val="1"/>
        </w:numPr>
        <w:tabs>
          <w:tab w:pos="1185" w:val="left" w:leader="none"/>
        </w:tabs>
        <w:spacing w:line="367" w:lineRule="auto" w:before="0" w:after="0"/>
        <w:ind w:left="1184" w:right="110" w:hanging="336"/>
        <w:jc w:val="both"/>
        <w:rPr>
          <w:sz w:val="22"/>
        </w:rPr>
      </w:pPr>
      <w:r>
        <w:rPr>
          <w:b/>
          <w:sz w:val="22"/>
        </w:rPr>
        <w:t>MANDATES</w:t>
      </w:r>
      <w:r>
        <w:rPr>
          <w:b/>
          <w:spacing w:val="40"/>
          <w:sz w:val="22"/>
        </w:rPr>
        <w:t> </w:t>
      </w:r>
      <w:r>
        <w:rPr>
          <w:sz w:val="22"/>
        </w:rPr>
        <w:t>the Secretary-General to contact, as soon as possibly, the Boycott</w:t>
      </w:r>
      <w:r>
        <w:rPr>
          <w:spacing w:val="40"/>
          <w:sz w:val="22"/>
        </w:rPr>
        <w:t> </w:t>
      </w:r>
      <w:r>
        <w:rPr>
          <w:sz w:val="22"/>
        </w:rPr>
        <w:t>Bureau of the League of Arab States to draw from its experience in the application of </w:t>
      </w:r>
      <w:r>
        <w:rPr>
          <w:spacing w:val="-2"/>
          <w:sz w:val="22"/>
        </w:rPr>
        <w:t>sanctions;</w:t>
      </w:r>
    </w:p>
    <w:p>
      <w:pPr>
        <w:pStyle w:val="BodyText"/>
        <w:spacing w:before="3"/>
        <w:rPr>
          <w:sz w:val="34"/>
        </w:rPr>
      </w:pPr>
    </w:p>
    <w:p>
      <w:pPr>
        <w:pStyle w:val="ListParagraph"/>
        <w:numPr>
          <w:ilvl w:val="0"/>
          <w:numId w:val="1"/>
        </w:numPr>
        <w:tabs>
          <w:tab w:pos="1185" w:val="left" w:leader="none"/>
        </w:tabs>
        <w:spacing w:line="369" w:lineRule="auto" w:before="0" w:after="0"/>
        <w:ind w:left="1184" w:right="112" w:hanging="336"/>
        <w:jc w:val="both"/>
        <w:rPr>
          <w:sz w:val="22"/>
        </w:rPr>
      </w:pPr>
      <w:r>
        <w:rPr>
          <w:b/>
          <w:sz w:val="22"/>
        </w:rPr>
        <w:t>DECIDES</w:t>
      </w:r>
      <w:r>
        <w:rPr>
          <w:b/>
          <w:spacing w:val="40"/>
          <w:sz w:val="22"/>
        </w:rPr>
        <w:t> </w:t>
      </w:r>
      <w:r>
        <w:rPr>
          <w:sz w:val="22"/>
        </w:rPr>
        <w:t>to</w:t>
      </w:r>
      <w:r>
        <w:rPr>
          <w:spacing w:val="40"/>
          <w:sz w:val="22"/>
        </w:rPr>
        <w:t> </w:t>
      </w:r>
      <w:r>
        <w:rPr>
          <w:sz w:val="22"/>
        </w:rPr>
        <w:t>transform</w:t>
      </w:r>
      <w:r>
        <w:rPr>
          <w:spacing w:val="40"/>
          <w:sz w:val="22"/>
        </w:rPr>
        <w:t> </w:t>
      </w:r>
      <w:r>
        <w:rPr>
          <w:sz w:val="22"/>
        </w:rPr>
        <w:t>the</w:t>
      </w:r>
      <w:r>
        <w:rPr>
          <w:spacing w:val="40"/>
          <w:sz w:val="22"/>
        </w:rPr>
        <w:t> </w:t>
      </w:r>
      <w:r>
        <w:rPr>
          <w:sz w:val="22"/>
        </w:rPr>
        <w:t>OAU</w:t>
      </w:r>
      <w:r>
        <w:rPr>
          <w:spacing w:val="40"/>
          <w:sz w:val="22"/>
        </w:rPr>
        <w:t> </w:t>
      </w:r>
      <w:r>
        <w:rPr>
          <w:sz w:val="22"/>
        </w:rPr>
        <w:t>Committee</w:t>
      </w:r>
      <w:r>
        <w:rPr>
          <w:spacing w:val="40"/>
          <w:sz w:val="22"/>
        </w:rPr>
        <w:t> </w:t>
      </w:r>
      <w:r>
        <w:rPr>
          <w:sz w:val="22"/>
        </w:rPr>
        <w:t>of</w:t>
      </w:r>
      <w:r>
        <w:rPr>
          <w:spacing w:val="40"/>
          <w:sz w:val="22"/>
        </w:rPr>
        <w:t> </w:t>
      </w:r>
      <w:r>
        <w:rPr>
          <w:sz w:val="22"/>
        </w:rPr>
        <w:t>Seven</w:t>
      </w:r>
      <w:r>
        <w:rPr>
          <w:spacing w:val="40"/>
          <w:sz w:val="22"/>
        </w:rPr>
        <w:t> </w:t>
      </w:r>
      <w:r>
        <w:rPr>
          <w:sz w:val="22"/>
        </w:rPr>
        <w:t>on</w:t>
      </w:r>
      <w:r>
        <w:rPr>
          <w:spacing w:val="40"/>
          <w:sz w:val="22"/>
        </w:rPr>
        <w:t> </w:t>
      </w:r>
      <w:r>
        <w:rPr>
          <w:sz w:val="22"/>
        </w:rPr>
        <w:t>oil</w:t>
      </w:r>
      <w:r>
        <w:rPr>
          <w:spacing w:val="40"/>
          <w:sz w:val="22"/>
        </w:rPr>
        <w:t> </w:t>
      </w:r>
      <w:r>
        <w:rPr>
          <w:sz w:val="22"/>
        </w:rPr>
        <w:t>Sanctions</w:t>
      </w:r>
      <w:r>
        <w:rPr>
          <w:spacing w:val="40"/>
          <w:sz w:val="22"/>
        </w:rPr>
        <w:t> </w:t>
      </w:r>
      <w:r>
        <w:rPr>
          <w:sz w:val="22"/>
        </w:rPr>
        <w:t>into</w:t>
      </w:r>
      <w:r>
        <w:rPr>
          <w:spacing w:val="40"/>
          <w:sz w:val="22"/>
        </w:rPr>
        <w:t> </w:t>
      </w:r>
      <w:r>
        <w:rPr>
          <w:sz w:val="22"/>
        </w:rPr>
        <w:t>a standing committee to follow up regularly, the subject of sanctions against white minority racist regimes in Southern Africa, and to co-operate with Sanction</w:t>
      </w:r>
      <w:r>
        <w:rPr>
          <w:spacing w:val="80"/>
          <w:sz w:val="22"/>
        </w:rPr>
        <w:t> </w:t>
      </w:r>
      <w:r>
        <w:rPr>
          <w:sz w:val="22"/>
        </w:rPr>
        <w:t>Committees of other international organizations such as the United Nations, the Arab League and the Commonwealth in order to ensure, as far as possible, their effective implementation, and to report periodically to the decision-making bodies;</w:t>
      </w:r>
    </w:p>
    <w:p>
      <w:pPr>
        <w:pStyle w:val="BodyText"/>
        <w:spacing w:before="9"/>
        <w:rPr>
          <w:sz w:val="33"/>
        </w:rPr>
      </w:pPr>
    </w:p>
    <w:p>
      <w:pPr>
        <w:pStyle w:val="ListParagraph"/>
        <w:numPr>
          <w:ilvl w:val="0"/>
          <w:numId w:val="1"/>
        </w:numPr>
        <w:tabs>
          <w:tab w:pos="1185" w:val="left" w:leader="none"/>
        </w:tabs>
        <w:spacing w:line="367" w:lineRule="auto" w:before="1" w:after="0"/>
        <w:ind w:left="1183" w:right="106" w:hanging="336"/>
        <w:jc w:val="both"/>
        <w:rPr>
          <w:sz w:val="22"/>
        </w:rPr>
      </w:pPr>
      <w:r>
        <w:rPr>
          <w:b/>
          <w:sz w:val="22"/>
        </w:rPr>
        <w:t>RECOMMENDS FURTHER </w:t>
      </w:r>
      <w:r>
        <w:rPr>
          <w:sz w:val="22"/>
        </w:rPr>
        <w:t>that the subject of oil embargo should permanently figure</w:t>
      </w:r>
      <w:r>
        <w:rPr>
          <w:spacing w:val="30"/>
          <w:sz w:val="22"/>
        </w:rPr>
        <w:t> </w:t>
      </w:r>
      <w:r>
        <w:rPr>
          <w:sz w:val="22"/>
        </w:rPr>
        <w:t>on</w:t>
      </w:r>
      <w:r>
        <w:rPr>
          <w:spacing w:val="31"/>
          <w:sz w:val="22"/>
        </w:rPr>
        <w:t> </w:t>
      </w:r>
      <w:r>
        <w:rPr>
          <w:sz w:val="22"/>
        </w:rPr>
        <w:t>the</w:t>
      </w:r>
      <w:r>
        <w:rPr>
          <w:spacing w:val="30"/>
          <w:sz w:val="22"/>
        </w:rPr>
        <w:t> </w:t>
      </w:r>
      <w:r>
        <w:rPr>
          <w:sz w:val="22"/>
        </w:rPr>
        <w:t>Agenda</w:t>
      </w:r>
      <w:r>
        <w:rPr>
          <w:spacing w:val="30"/>
          <w:sz w:val="22"/>
        </w:rPr>
        <w:t> </w:t>
      </w:r>
      <w:r>
        <w:rPr>
          <w:sz w:val="22"/>
        </w:rPr>
        <w:t>of</w:t>
      </w:r>
      <w:r>
        <w:rPr>
          <w:spacing w:val="30"/>
          <w:sz w:val="22"/>
        </w:rPr>
        <w:t> </w:t>
      </w:r>
      <w:r>
        <w:rPr>
          <w:sz w:val="22"/>
        </w:rPr>
        <w:t>all</w:t>
      </w:r>
      <w:r>
        <w:rPr>
          <w:spacing w:val="30"/>
          <w:sz w:val="22"/>
        </w:rPr>
        <w:t> </w:t>
      </w:r>
      <w:r>
        <w:rPr>
          <w:sz w:val="22"/>
        </w:rPr>
        <w:t>regional</w:t>
      </w:r>
      <w:r>
        <w:rPr>
          <w:spacing w:val="30"/>
          <w:sz w:val="22"/>
        </w:rPr>
        <w:t> </w:t>
      </w:r>
      <w:r>
        <w:rPr>
          <w:sz w:val="22"/>
        </w:rPr>
        <w:t>inter-regional</w:t>
      </w:r>
      <w:r>
        <w:rPr>
          <w:spacing w:val="28"/>
          <w:sz w:val="22"/>
        </w:rPr>
        <w:t> </w:t>
      </w:r>
      <w:r>
        <w:rPr>
          <w:sz w:val="22"/>
        </w:rPr>
        <w:t>and</w:t>
      </w:r>
      <w:r>
        <w:rPr>
          <w:spacing w:val="29"/>
          <w:sz w:val="22"/>
        </w:rPr>
        <w:t> </w:t>
      </w:r>
      <w:r>
        <w:rPr>
          <w:sz w:val="22"/>
        </w:rPr>
        <w:t>international</w:t>
      </w:r>
      <w:r>
        <w:rPr>
          <w:spacing w:val="28"/>
          <w:sz w:val="22"/>
        </w:rPr>
        <w:t> </w:t>
      </w:r>
      <w:r>
        <w:rPr>
          <w:sz w:val="22"/>
        </w:rPr>
        <w:t>conferences</w:t>
      </w:r>
      <w:r>
        <w:rPr>
          <w:spacing w:val="28"/>
          <w:sz w:val="22"/>
        </w:rPr>
        <w:t> </w:t>
      </w:r>
      <w:r>
        <w:rPr>
          <w:sz w:val="22"/>
        </w:rPr>
        <w:t>and to eventually call on the services of groups of consultants specialized in the subject of oil sanctions as approved by the Council of Ministers;</w:t>
      </w:r>
    </w:p>
    <w:p>
      <w:pPr>
        <w:pStyle w:val="BodyText"/>
        <w:spacing w:before="4"/>
        <w:rPr>
          <w:sz w:val="34"/>
        </w:rPr>
      </w:pPr>
    </w:p>
    <w:p>
      <w:pPr>
        <w:pStyle w:val="ListParagraph"/>
        <w:numPr>
          <w:ilvl w:val="0"/>
          <w:numId w:val="1"/>
        </w:numPr>
        <w:tabs>
          <w:tab w:pos="1185" w:val="left" w:leader="none"/>
        </w:tabs>
        <w:spacing w:line="367" w:lineRule="auto" w:before="0" w:after="0"/>
        <w:ind w:left="1183" w:right="123" w:hanging="336"/>
        <w:jc w:val="both"/>
        <w:rPr>
          <w:sz w:val="22"/>
        </w:rPr>
      </w:pPr>
      <w:r>
        <w:rPr>
          <w:b/>
          <w:sz w:val="22"/>
        </w:rPr>
        <w:t>MANDATES </w:t>
      </w:r>
      <w:r>
        <w:rPr>
          <w:sz w:val="22"/>
        </w:rPr>
        <w:t>the African Group at the United Nations Organization in New York to work towards the early convening of the Security Council to consider the issue of oil embargo against the Southern African racist regime;</w:t>
      </w:r>
    </w:p>
    <w:p>
      <w:pPr>
        <w:spacing w:after="0" w:line="367" w:lineRule="auto"/>
        <w:jc w:val="both"/>
        <w:rPr>
          <w:sz w:val="22"/>
        </w:rPr>
        <w:sectPr>
          <w:pgSz w:w="12240" w:h="15840"/>
          <w:pgMar w:header="701" w:footer="0" w:top="940" w:bottom="280" w:left="1720" w:right="1440"/>
        </w:sectPr>
      </w:pPr>
    </w:p>
    <w:p>
      <w:pPr>
        <w:pStyle w:val="BodyText"/>
        <w:rPr>
          <w:sz w:val="20"/>
        </w:rPr>
      </w:pPr>
    </w:p>
    <w:p>
      <w:pPr>
        <w:pStyle w:val="BodyText"/>
        <w:rPr>
          <w:sz w:val="20"/>
        </w:rPr>
      </w:pPr>
    </w:p>
    <w:p>
      <w:pPr>
        <w:pStyle w:val="BodyText"/>
        <w:spacing w:before="1"/>
        <w:rPr>
          <w:sz w:val="20"/>
        </w:rPr>
      </w:pPr>
    </w:p>
    <w:p>
      <w:pPr>
        <w:pStyle w:val="ListParagraph"/>
        <w:numPr>
          <w:ilvl w:val="0"/>
          <w:numId w:val="1"/>
        </w:numPr>
        <w:tabs>
          <w:tab w:pos="1185" w:val="left" w:leader="none"/>
        </w:tabs>
        <w:spacing w:line="369" w:lineRule="auto" w:before="96" w:after="0"/>
        <w:ind w:left="1183" w:right="109" w:hanging="336"/>
        <w:jc w:val="both"/>
        <w:rPr>
          <w:sz w:val="22"/>
        </w:rPr>
      </w:pPr>
      <w:r>
        <w:rPr>
          <w:b/>
          <w:sz w:val="22"/>
        </w:rPr>
        <w:t>REQUESTS </w:t>
      </w:r>
      <w:r>
        <w:rPr>
          <w:sz w:val="22"/>
        </w:rPr>
        <w:t>the Administrative Secretary-General to establish the appropriate machinery and modalities to assist this Committee to accomplish its task.</w:t>
      </w:r>
      <w:r>
        <w:rPr>
          <w:spacing w:val="80"/>
          <w:sz w:val="22"/>
        </w:rPr>
        <w:t> </w:t>
      </w:r>
      <w:r>
        <w:rPr>
          <w:sz w:val="22"/>
        </w:rPr>
        <w:t>To this end he</w:t>
      </w:r>
      <w:r>
        <w:rPr>
          <w:spacing w:val="29"/>
          <w:sz w:val="22"/>
        </w:rPr>
        <w:t> </w:t>
      </w:r>
      <w:r>
        <w:rPr>
          <w:sz w:val="22"/>
        </w:rPr>
        <w:t>should</w:t>
      </w:r>
      <w:r>
        <w:rPr>
          <w:spacing w:val="30"/>
          <w:sz w:val="22"/>
        </w:rPr>
        <w:t> </w:t>
      </w:r>
      <w:r>
        <w:rPr>
          <w:sz w:val="22"/>
        </w:rPr>
        <w:t>strengthen</w:t>
      </w:r>
      <w:r>
        <w:rPr>
          <w:spacing w:val="30"/>
          <w:sz w:val="22"/>
        </w:rPr>
        <w:t> </w:t>
      </w:r>
      <w:r>
        <w:rPr>
          <w:sz w:val="22"/>
        </w:rPr>
        <w:t>the</w:t>
      </w:r>
      <w:r>
        <w:rPr>
          <w:spacing w:val="29"/>
          <w:sz w:val="22"/>
        </w:rPr>
        <w:t> </w:t>
      </w:r>
      <w:r>
        <w:rPr>
          <w:sz w:val="22"/>
        </w:rPr>
        <w:t>unit</w:t>
      </w:r>
      <w:r>
        <w:rPr>
          <w:spacing w:val="29"/>
          <w:sz w:val="22"/>
        </w:rPr>
        <w:t> </w:t>
      </w:r>
      <w:r>
        <w:rPr>
          <w:sz w:val="22"/>
        </w:rPr>
        <w:t>in</w:t>
      </w:r>
      <w:r>
        <w:rPr>
          <w:spacing w:val="30"/>
          <w:sz w:val="22"/>
        </w:rPr>
        <w:t> </w:t>
      </w:r>
      <w:r>
        <w:rPr>
          <w:sz w:val="22"/>
        </w:rPr>
        <w:t>the</w:t>
      </w:r>
      <w:r>
        <w:rPr>
          <w:spacing w:val="29"/>
          <w:sz w:val="22"/>
        </w:rPr>
        <w:t> </w:t>
      </w:r>
      <w:r>
        <w:rPr>
          <w:sz w:val="22"/>
        </w:rPr>
        <w:t>General</w:t>
      </w:r>
      <w:r>
        <w:rPr>
          <w:spacing w:val="29"/>
          <w:sz w:val="22"/>
        </w:rPr>
        <w:t> </w:t>
      </w:r>
      <w:r>
        <w:rPr>
          <w:sz w:val="22"/>
        </w:rPr>
        <w:t>Secretariat</w:t>
      </w:r>
      <w:r>
        <w:rPr>
          <w:spacing w:val="29"/>
          <w:sz w:val="22"/>
        </w:rPr>
        <w:t> </w:t>
      </w:r>
      <w:r>
        <w:rPr>
          <w:sz w:val="22"/>
        </w:rPr>
        <w:t>charged</w:t>
      </w:r>
      <w:r>
        <w:rPr>
          <w:spacing w:val="30"/>
          <w:sz w:val="22"/>
        </w:rPr>
        <w:t> </w:t>
      </w:r>
      <w:r>
        <w:rPr>
          <w:sz w:val="22"/>
        </w:rPr>
        <w:t>with</w:t>
      </w:r>
      <w:r>
        <w:rPr>
          <w:spacing w:val="30"/>
          <w:sz w:val="22"/>
        </w:rPr>
        <w:t> </w:t>
      </w:r>
      <w:r>
        <w:rPr>
          <w:sz w:val="22"/>
        </w:rPr>
        <w:t>the</w:t>
      </w:r>
      <w:r>
        <w:rPr>
          <w:spacing w:val="29"/>
          <w:sz w:val="22"/>
        </w:rPr>
        <w:t> </w:t>
      </w:r>
      <w:r>
        <w:rPr>
          <w:sz w:val="22"/>
        </w:rPr>
        <w:t>application of sanctions on oil embargo against the racist regimes of Southern Africa;</w:t>
      </w:r>
    </w:p>
    <w:p>
      <w:pPr>
        <w:pStyle w:val="BodyText"/>
        <w:spacing w:before="6"/>
        <w:rPr>
          <w:sz w:val="33"/>
        </w:rPr>
      </w:pPr>
    </w:p>
    <w:p>
      <w:pPr>
        <w:pStyle w:val="ListParagraph"/>
        <w:numPr>
          <w:ilvl w:val="0"/>
          <w:numId w:val="1"/>
        </w:numPr>
        <w:tabs>
          <w:tab w:pos="1185" w:val="left" w:leader="none"/>
        </w:tabs>
        <w:spacing w:line="369" w:lineRule="auto" w:before="0" w:after="0"/>
        <w:ind w:left="1183" w:right="111" w:hanging="336"/>
        <w:jc w:val="both"/>
        <w:rPr>
          <w:sz w:val="22"/>
        </w:rPr>
      </w:pPr>
      <w:r>
        <w:rPr>
          <w:b/>
          <w:sz w:val="22"/>
        </w:rPr>
        <w:t>FURTHER REQUESTS </w:t>
      </w:r>
      <w:r>
        <w:rPr>
          <w:sz w:val="22"/>
        </w:rPr>
        <w:t>the Administrative Secretary-General to establish an appropriate reporting system in the General Secretariat to enable all Member States to regularly</w:t>
      </w:r>
      <w:r>
        <w:rPr>
          <w:spacing w:val="40"/>
          <w:sz w:val="22"/>
        </w:rPr>
        <w:t> </w:t>
      </w:r>
      <w:r>
        <w:rPr>
          <w:sz w:val="22"/>
        </w:rPr>
        <w:t>communicate</w:t>
      </w:r>
      <w:r>
        <w:rPr>
          <w:spacing w:val="40"/>
          <w:sz w:val="22"/>
        </w:rPr>
        <w:t> </w:t>
      </w:r>
      <w:r>
        <w:rPr>
          <w:sz w:val="22"/>
        </w:rPr>
        <w:t>to</w:t>
      </w:r>
      <w:r>
        <w:rPr>
          <w:spacing w:val="40"/>
          <w:sz w:val="22"/>
        </w:rPr>
        <w:t> </w:t>
      </w:r>
      <w:r>
        <w:rPr>
          <w:sz w:val="22"/>
        </w:rPr>
        <w:t>him</w:t>
      </w:r>
      <w:r>
        <w:rPr>
          <w:spacing w:val="40"/>
          <w:sz w:val="22"/>
        </w:rPr>
        <w:t> </w:t>
      </w:r>
      <w:r>
        <w:rPr>
          <w:sz w:val="22"/>
        </w:rPr>
        <w:t>information</w:t>
      </w:r>
      <w:r>
        <w:rPr>
          <w:spacing w:val="40"/>
          <w:sz w:val="22"/>
        </w:rPr>
        <w:t> </w:t>
      </w:r>
      <w:r>
        <w:rPr>
          <w:sz w:val="22"/>
        </w:rPr>
        <w:t>regarding</w:t>
      </w:r>
      <w:r>
        <w:rPr>
          <w:spacing w:val="40"/>
          <w:sz w:val="22"/>
        </w:rPr>
        <w:t> </w:t>
      </w:r>
      <w:r>
        <w:rPr>
          <w:sz w:val="22"/>
        </w:rPr>
        <w:t>their</w:t>
      </w:r>
      <w:r>
        <w:rPr>
          <w:spacing w:val="40"/>
          <w:sz w:val="22"/>
        </w:rPr>
        <w:t> </w:t>
      </w:r>
      <w:r>
        <w:rPr>
          <w:sz w:val="22"/>
        </w:rPr>
        <w:t>compliance</w:t>
      </w:r>
      <w:r>
        <w:rPr>
          <w:spacing w:val="40"/>
          <w:sz w:val="22"/>
        </w:rPr>
        <w:t> </w:t>
      </w:r>
      <w:r>
        <w:rPr>
          <w:sz w:val="22"/>
        </w:rPr>
        <w:t>with</w:t>
      </w:r>
      <w:r>
        <w:rPr>
          <w:spacing w:val="40"/>
          <w:sz w:val="22"/>
        </w:rPr>
        <w:t> </w:t>
      </w:r>
      <w:r>
        <w:rPr>
          <w:sz w:val="22"/>
        </w:rPr>
        <w:t>the various</w:t>
      </w:r>
      <w:r>
        <w:rPr>
          <w:spacing w:val="40"/>
          <w:sz w:val="22"/>
        </w:rPr>
        <w:t> </w:t>
      </w:r>
      <w:r>
        <w:rPr>
          <w:sz w:val="22"/>
        </w:rPr>
        <w:t>resolutions</w:t>
      </w:r>
      <w:r>
        <w:rPr>
          <w:spacing w:val="40"/>
          <w:sz w:val="22"/>
        </w:rPr>
        <w:t> </w:t>
      </w:r>
      <w:r>
        <w:rPr>
          <w:sz w:val="22"/>
        </w:rPr>
        <w:t>on</w:t>
      </w:r>
      <w:r>
        <w:rPr>
          <w:spacing w:val="40"/>
          <w:sz w:val="22"/>
        </w:rPr>
        <w:t> </w:t>
      </w:r>
      <w:r>
        <w:rPr>
          <w:sz w:val="22"/>
        </w:rPr>
        <w:t>sanctions</w:t>
      </w:r>
      <w:r>
        <w:rPr>
          <w:spacing w:val="40"/>
          <w:sz w:val="22"/>
        </w:rPr>
        <w:t> </w:t>
      </w:r>
      <w:r>
        <w:rPr>
          <w:sz w:val="22"/>
        </w:rPr>
        <w:t>and</w:t>
      </w:r>
      <w:r>
        <w:rPr>
          <w:spacing w:val="40"/>
          <w:sz w:val="22"/>
        </w:rPr>
        <w:t> </w:t>
      </w:r>
      <w:r>
        <w:rPr>
          <w:sz w:val="22"/>
        </w:rPr>
        <w:t>oil</w:t>
      </w:r>
      <w:r>
        <w:rPr>
          <w:spacing w:val="40"/>
          <w:sz w:val="22"/>
        </w:rPr>
        <w:t> </w:t>
      </w:r>
      <w:r>
        <w:rPr>
          <w:sz w:val="22"/>
        </w:rPr>
        <w:t>embargo</w:t>
      </w:r>
      <w:r>
        <w:rPr>
          <w:spacing w:val="40"/>
          <w:sz w:val="22"/>
        </w:rPr>
        <w:t> </w:t>
      </w:r>
      <w:r>
        <w:rPr>
          <w:sz w:val="22"/>
        </w:rPr>
        <w:t>against</w:t>
      </w:r>
      <w:r>
        <w:rPr>
          <w:spacing w:val="40"/>
          <w:sz w:val="22"/>
        </w:rPr>
        <w:t> </w:t>
      </w:r>
      <w:r>
        <w:rPr>
          <w:sz w:val="22"/>
        </w:rPr>
        <w:t>the</w:t>
      </w:r>
      <w:r>
        <w:rPr>
          <w:spacing w:val="40"/>
          <w:sz w:val="22"/>
        </w:rPr>
        <w:t> </w:t>
      </w:r>
      <w:r>
        <w:rPr>
          <w:sz w:val="22"/>
        </w:rPr>
        <w:t>racist</w:t>
      </w:r>
      <w:r>
        <w:rPr>
          <w:spacing w:val="40"/>
          <w:sz w:val="22"/>
        </w:rPr>
        <w:t> </w:t>
      </w:r>
      <w:r>
        <w:rPr>
          <w:sz w:val="22"/>
        </w:rPr>
        <w:t>regimes</w:t>
      </w:r>
      <w:r>
        <w:rPr>
          <w:spacing w:val="40"/>
          <w:sz w:val="22"/>
        </w:rPr>
        <w:t> </w:t>
      </w:r>
      <w:r>
        <w:rPr>
          <w:sz w:val="22"/>
        </w:rPr>
        <w:t>o Southern Africa:</w:t>
      </w:r>
    </w:p>
    <w:sectPr>
      <w:pgSz w:w="12240" w:h="15840"/>
      <w:pgMar w:header="701" w:footer="0" w:top="94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8.279999pt;margin-top:34.068241pt;width:101.55pt;height:14.5pt;mso-position-horizontal-relative:page;mso-position-vertical-relative:page;z-index:-15768576" type="#_x0000_t202" id="docshape1" filled="false" stroked="false">
          <v:textbox inset="0,0,0,0">
            <w:txbxContent>
              <w:p>
                <w:pPr>
                  <w:pStyle w:val="BodyText"/>
                  <w:spacing w:before="15"/>
                  <w:ind w:left="20"/>
                </w:pPr>
                <w:r>
                  <w:rPr/>
                  <w:t>CM/Res.</w:t>
                </w:r>
                <w:r>
                  <w:rPr>
                    <w:spacing w:val="24"/>
                  </w:rPr>
                  <w:t> </w:t>
                </w:r>
                <w:r>
                  <w:rPr/>
                  <w:t>634</w:t>
                </w:r>
                <w:r>
                  <w:rPr>
                    <w:spacing w:val="25"/>
                  </w:rPr>
                  <w:t> </w:t>
                </w:r>
                <w:r>
                  <w:rPr>
                    <w:spacing w:val="-2"/>
                  </w:rPr>
                  <w:t>(XXXI)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771" w:right="2738"/>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11"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2023-06-07T08:56:20Z</dcterms:created>
  <dcterms:modified xsi:type="dcterms:W3CDTF">2023-06-07T08:56:20Z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