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5"/>
          <w:u w:val="single"/>
        </w:rPr>
        <w:t> </w:t>
      </w:r>
      <w:r>
        <w:rPr>
          <w:u w:val="single"/>
        </w:rPr>
        <w:t>ON</w:t>
      </w:r>
      <w:r>
        <w:rPr>
          <w:spacing w:val="6"/>
          <w:u w:val="single"/>
        </w:rPr>
        <w:t> </w:t>
      </w:r>
      <w:r>
        <w:rPr>
          <w:u w:val="single"/>
        </w:rPr>
        <w:t>THE</w:t>
      </w:r>
      <w:r>
        <w:rPr>
          <w:spacing w:val="6"/>
          <w:u w:val="single"/>
        </w:rPr>
        <w:t> </w:t>
      </w:r>
      <w:r>
        <w:rPr>
          <w:u w:val="single"/>
        </w:rPr>
        <w:t>OAU</w:t>
      </w:r>
      <w:r>
        <w:rPr>
          <w:spacing w:val="5"/>
          <w:u w:val="single"/>
        </w:rPr>
        <w:t> </w:t>
      </w:r>
      <w:r>
        <w:rPr>
          <w:u w:val="single"/>
        </w:rPr>
        <w:t>GROUP</w:t>
      </w:r>
      <w:r>
        <w:rPr>
          <w:spacing w:val="8"/>
          <w:u w:val="single"/>
        </w:rPr>
        <w:t> </w:t>
      </w:r>
      <w:r>
        <w:rPr>
          <w:u w:val="single"/>
        </w:rPr>
        <w:t>IN</w:t>
      </w:r>
      <w:r>
        <w:rPr>
          <w:spacing w:val="5"/>
          <w:u w:val="single"/>
        </w:rPr>
        <w:t> </w:t>
      </w:r>
      <w:r>
        <w:rPr>
          <w:spacing w:val="-2"/>
          <w:u w:val="single"/>
        </w:rPr>
        <w:t>BRUSSELS</w:t>
      </w:r>
    </w:p>
    <w:p>
      <w:pPr>
        <w:pStyle w:val="BodyText"/>
        <w:rPr>
          <w:b/>
          <w:sz w:val="20"/>
        </w:rPr>
      </w:pPr>
    </w:p>
    <w:p>
      <w:pPr>
        <w:pStyle w:val="BodyText"/>
        <w:spacing w:before="10"/>
        <w:rPr>
          <w:b/>
          <w:sz w:val="16"/>
        </w:rPr>
      </w:pPr>
    </w:p>
    <w:p>
      <w:pPr>
        <w:pStyle w:val="BodyText"/>
        <w:spacing w:line="364" w:lineRule="auto" w:before="96"/>
        <w:ind w:left="171" w:firstLine="676"/>
      </w:pPr>
      <w:r>
        <w:rPr/>
        <w:t>The Council of Ministers of the Organization of African Unity, meeting in its Thirty-First Ordinary Session in Khartoum, Democratic Republic of the Sudan, from 7 to 18 July 1978,</w:t>
      </w:r>
    </w:p>
    <w:p>
      <w:pPr>
        <w:pStyle w:val="BodyText"/>
        <w:spacing w:before="6"/>
        <w:rPr>
          <w:sz w:val="34"/>
        </w:rPr>
      </w:pPr>
    </w:p>
    <w:p>
      <w:pPr>
        <w:pStyle w:val="BodyText"/>
        <w:spacing w:line="369" w:lineRule="auto"/>
        <w:ind w:left="171" w:right="487" w:firstLine="676"/>
      </w:pPr>
      <w:r>
        <w:rPr>
          <w:b/>
          <w:u w:val="single"/>
        </w:rPr>
        <w:t>Taking note</w:t>
      </w:r>
      <w:r>
        <w:rPr>
          <w:b/>
          <w:spacing w:val="29"/>
        </w:rPr>
        <w:t> </w:t>
      </w:r>
      <w:r>
        <w:rPr/>
        <w:t>with satisfaction of the programme of action and memorandum adopted</w:t>
      </w:r>
      <w:r>
        <w:rPr>
          <w:spacing w:val="40"/>
        </w:rPr>
        <w:t> </w:t>
      </w:r>
      <w:r>
        <w:rPr/>
        <w:t>on 28 October 1977 by the OAU Group in Brussels;</w:t>
      </w:r>
    </w:p>
    <w:p>
      <w:pPr>
        <w:pStyle w:val="BodyText"/>
        <w:spacing w:before="8"/>
        <w:rPr>
          <w:sz w:val="33"/>
        </w:rPr>
      </w:pPr>
    </w:p>
    <w:p>
      <w:pPr>
        <w:pStyle w:val="BodyText"/>
        <w:spacing w:line="369" w:lineRule="auto"/>
        <w:ind w:left="171" w:right="134" w:firstLine="676"/>
      </w:pPr>
      <w:r>
        <w:rPr>
          <w:b/>
          <w:u w:val="single"/>
        </w:rPr>
        <w:t>Having</w:t>
      </w:r>
      <w:r>
        <w:rPr>
          <w:b/>
          <w:spacing w:val="40"/>
          <w:u w:val="single"/>
        </w:rPr>
        <w:t> </w:t>
      </w:r>
      <w:r>
        <w:rPr>
          <w:b/>
          <w:u w:val="single"/>
        </w:rPr>
        <w:t>considered</w:t>
      </w:r>
      <w:r>
        <w:rPr>
          <w:b/>
          <w:spacing w:val="74"/>
        </w:rPr>
        <w:t> </w:t>
      </w:r>
      <w:r>
        <w:rPr/>
        <w:t>the</w:t>
      </w:r>
      <w:r>
        <w:rPr>
          <w:spacing w:val="40"/>
        </w:rPr>
        <w:t> </w:t>
      </w:r>
      <w:r>
        <w:rPr/>
        <w:t>Progress</w:t>
      </w:r>
      <w:r>
        <w:rPr>
          <w:spacing w:val="40"/>
        </w:rPr>
        <w:t> </w:t>
      </w:r>
      <w:r>
        <w:rPr/>
        <w:t>Report</w:t>
      </w:r>
      <w:r>
        <w:rPr>
          <w:spacing w:val="40"/>
        </w:rPr>
        <w:t> </w:t>
      </w:r>
      <w:r>
        <w:rPr/>
        <w:t>submitted</w:t>
      </w:r>
      <w:r>
        <w:rPr>
          <w:spacing w:val="40"/>
        </w:rPr>
        <w:t> </w:t>
      </w:r>
      <w:r>
        <w:rPr/>
        <w:t>by</w:t>
      </w:r>
      <w:r>
        <w:rPr>
          <w:spacing w:val="40"/>
        </w:rPr>
        <w:t> </w:t>
      </w:r>
      <w:r>
        <w:rPr/>
        <w:t>the</w:t>
      </w:r>
      <w:r>
        <w:rPr>
          <w:spacing w:val="40"/>
        </w:rPr>
        <w:t> </w:t>
      </w:r>
      <w:r>
        <w:rPr/>
        <w:t>Chairman</w:t>
      </w:r>
      <w:r>
        <w:rPr>
          <w:spacing w:val="40"/>
        </w:rPr>
        <w:t> </w:t>
      </w:r>
      <w:r>
        <w:rPr/>
        <w:t>of</w:t>
      </w:r>
      <w:r>
        <w:rPr>
          <w:spacing w:val="40"/>
        </w:rPr>
        <w:t> </w:t>
      </w:r>
      <w:r>
        <w:rPr/>
        <w:t>the</w:t>
      </w:r>
      <w:r>
        <w:rPr>
          <w:spacing w:val="40"/>
        </w:rPr>
        <w:t> </w:t>
      </w:r>
      <w:r>
        <w:rPr/>
        <w:t>OAU Group in Brussels;</w:t>
      </w:r>
    </w:p>
    <w:p>
      <w:pPr>
        <w:pStyle w:val="BodyText"/>
        <w:spacing w:before="8"/>
        <w:rPr>
          <w:sz w:val="33"/>
        </w:rPr>
      </w:pPr>
    </w:p>
    <w:p>
      <w:pPr>
        <w:pStyle w:val="BodyText"/>
        <w:spacing w:line="374" w:lineRule="auto"/>
        <w:ind w:left="171" w:right="487" w:firstLine="676"/>
      </w:pPr>
      <w:r>
        <w:rPr>
          <w:b/>
          <w:u w:val="single"/>
        </w:rPr>
        <w:t>Considering</w:t>
      </w:r>
      <w:r>
        <w:rPr>
          <w:b/>
          <w:spacing w:val="40"/>
        </w:rPr>
        <w:t> </w:t>
      </w:r>
      <w:r>
        <w:rPr/>
        <w:t>the importance of African representation at the European Communities</w:t>
      </w:r>
      <w:r>
        <w:rPr>
          <w:spacing w:val="40"/>
        </w:rPr>
        <w:t> </w:t>
      </w:r>
      <w:r>
        <w:rPr/>
        <w:t>and in the BENELUX countries, in Brussels:</w:t>
      </w:r>
    </w:p>
    <w:p>
      <w:pPr>
        <w:pStyle w:val="BodyText"/>
        <w:spacing w:before="9"/>
        <w:rPr>
          <w:sz w:val="32"/>
        </w:rPr>
      </w:pPr>
    </w:p>
    <w:p>
      <w:pPr>
        <w:pStyle w:val="ListParagraph"/>
        <w:numPr>
          <w:ilvl w:val="0"/>
          <w:numId w:val="1"/>
        </w:numPr>
        <w:tabs>
          <w:tab w:pos="1185" w:val="left" w:leader="none"/>
        </w:tabs>
        <w:spacing w:line="372" w:lineRule="auto" w:before="0" w:after="0"/>
        <w:ind w:left="1184" w:right="422" w:hanging="336"/>
        <w:jc w:val="both"/>
        <w:rPr>
          <w:sz w:val="22"/>
        </w:rPr>
      </w:pPr>
      <w:r>
        <w:rPr>
          <w:b/>
          <w:sz w:val="22"/>
        </w:rPr>
        <w:t>COMMENDS </w:t>
      </w:r>
      <w:r>
        <w:rPr>
          <w:sz w:val="22"/>
        </w:rPr>
        <w:t>the OAU Group in Brussels, </w:t>
      </w:r>
      <w:r>
        <w:rPr>
          <w:b/>
          <w:sz w:val="22"/>
        </w:rPr>
        <w:t>SUPPORTS </w:t>
      </w:r>
      <w:r>
        <w:rPr>
          <w:sz w:val="22"/>
        </w:rPr>
        <w:t>its initiative and </w:t>
      </w:r>
      <w:r>
        <w:rPr>
          <w:b/>
          <w:sz w:val="22"/>
        </w:rPr>
        <w:t>ENCOURAGES </w:t>
      </w:r>
      <w:r>
        <w:rPr>
          <w:sz w:val="22"/>
        </w:rPr>
        <w:t>it to continue its actions in the spirit of the ideals of the Organization of African Unity;</w:t>
      </w:r>
    </w:p>
    <w:p>
      <w:pPr>
        <w:pStyle w:val="BodyText"/>
        <w:spacing w:before="4"/>
        <w:rPr>
          <w:sz w:val="33"/>
        </w:rPr>
      </w:pPr>
    </w:p>
    <w:p>
      <w:pPr>
        <w:pStyle w:val="ListParagraph"/>
        <w:numPr>
          <w:ilvl w:val="0"/>
          <w:numId w:val="1"/>
        </w:numPr>
        <w:tabs>
          <w:tab w:pos="1185" w:val="left" w:leader="none"/>
        </w:tabs>
        <w:spacing w:line="369" w:lineRule="auto" w:before="0" w:after="0"/>
        <w:ind w:left="1184" w:right="421" w:hanging="336"/>
        <w:jc w:val="both"/>
        <w:rPr>
          <w:sz w:val="22"/>
        </w:rPr>
      </w:pPr>
      <w:r>
        <w:rPr>
          <w:b/>
          <w:sz w:val="22"/>
        </w:rPr>
        <w:t>EXPRESSES </w:t>
      </w:r>
      <w:r>
        <w:rPr>
          <w:sz w:val="22"/>
        </w:rPr>
        <w:t>the need for a concerted and united action on report of the African Groups in NEW YORK, Geneva and Brussels;</w:t>
      </w:r>
    </w:p>
    <w:p>
      <w:pPr>
        <w:pStyle w:val="BodyText"/>
        <w:spacing w:before="8"/>
        <w:rPr>
          <w:sz w:val="33"/>
        </w:rPr>
      </w:pPr>
    </w:p>
    <w:p>
      <w:pPr>
        <w:pStyle w:val="ListParagraph"/>
        <w:numPr>
          <w:ilvl w:val="0"/>
          <w:numId w:val="1"/>
        </w:numPr>
        <w:tabs>
          <w:tab w:pos="1185" w:val="left" w:leader="none"/>
        </w:tabs>
        <w:spacing w:line="369" w:lineRule="auto" w:before="0" w:after="0"/>
        <w:ind w:left="1183" w:right="421" w:hanging="336"/>
        <w:jc w:val="both"/>
        <w:rPr>
          <w:sz w:val="22"/>
        </w:rPr>
      </w:pPr>
      <w:r>
        <w:rPr>
          <w:b/>
          <w:sz w:val="22"/>
        </w:rPr>
        <w:t>CALLS ON </w:t>
      </w:r>
      <w:r>
        <w:rPr>
          <w:sz w:val="22"/>
        </w:rPr>
        <w:t>the OAU Administrative Secretary-General to take necessary</w:t>
      </w:r>
      <w:r>
        <w:rPr>
          <w:spacing w:val="80"/>
          <w:w w:val="150"/>
          <w:sz w:val="22"/>
        </w:rPr>
        <w:t> </w:t>
      </w:r>
      <w:r>
        <w:rPr>
          <w:sz w:val="22"/>
        </w:rPr>
        <w:t>measures so as to follow and co-ordinate in consultation with the Advisory Committee on budgetary and financial Matters and the Structural Committee, the activities of the OAU Group in Brussels through establishment in the future of an appropriate structure in Brussels;</w:t>
      </w:r>
    </w:p>
    <w:p>
      <w:pPr>
        <w:pStyle w:val="BodyText"/>
        <w:spacing w:before="5"/>
        <w:rPr>
          <w:sz w:val="33"/>
        </w:rPr>
      </w:pPr>
    </w:p>
    <w:p>
      <w:pPr>
        <w:pStyle w:val="ListParagraph"/>
        <w:numPr>
          <w:ilvl w:val="0"/>
          <w:numId w:val="1"/>
        </w:numPr>
        <w:tabs>
          <w:tab w:pos="1185" w:val="left" w:leader="none"/>
        </w:tabs>
        <w:spacing w:line="369" w:lineRule="auto" w:before="0" w:after="0"/>
        <w:ind w:left="1183" w:right="421" w:hanging="336"/>
        <w:jc w:val="both"/>
        <w:rPr>
          <w:sz w:val="22"/>
        </w:rPr>
      </w:pPr>
      <w:r>
        <w:rPr>
          <w:b/>
          <w:sz w:val="22"/>
        </w:rPr>
        <w:t>CALLS ON </w:t>
      </w:r>
      <w:r>
        <w:rPr>
          <w:sz w:val="22"/>
        </w:rPr>
        <w:t>the Administrative Secretary-General, in consultation with the Advisory</w:t>
      </w:r>
      <w:r>
        <w:rPr>
          <w:spacing w:val="40"/>
          <w:sz w:val="22"/>
        </w:rPr>
        <w:t> </w:t>
      </w:r>
      <w:r>
        <w:rPr>
          <w:sz w:val="22"/>
        </w:rPr>
        <w:t>Committee</w:t>
      </w:r>
      <w:r>
        <w:rPr>
          <w:spacing w:val="40"/>
          <w:sz w:val="22"/>
        </w:rPr>
        <w:t> </w:t>
      </w:r>
      <w:r>
        <w:rPr>
          <w:sz w:val="22"/>
        </w:rPr>
        <w:t>on</w:t>
      </w:r>
      <w:r>
        <w:rPr>
          <w:spacing w:val="40"/>
          <w:sz w:val="22"/>
        </w:rPr>
        <w:t> </w:t>
      </w:r>
      <w:r>
        <w:rPr>
          <w:sz w:val="22"/>
        </w:rPr>
        <w:t>Budgetary</w:t>
      </w:r>
      <w:r>
        <w:rPr>
          <w:spacing w:val="40"/>
          <w:sz w:val="22"/>
        </w:rPr>
        <w:t> </w:t>
      </w:r>
      <w:r>
        <w:rPr>
          <w:sz w:val="22"/>
        </w:rPr>
        <w:t>and</w:t>
      </w:r>
      <w:r>
        <w:rPr>
          <w:spacing w:val="40"/>
          <w:sz w:val="22"/>
        </w:rPr>
        <w:t> </w:t>
      </w:r>
      <w:r>
        <w:rPr>
          <w:sz w:val="22"/>
        </w:rPr>
        <w:t>Financial</w:t>
      </w:r>
      <w:r>
        <w:rPr>
          <w:spacing w:val="40"/>
          <w:sz w:val="22"/>
        </w:rPr>
        <w:t> </w:t>
      </w:r>
      <w:r>
        <w:rPr>
          <w:sz w:val="22"/>
        </w:rPr>
        <w:t>Matters,</w:t>
      </w:r>
      <w:r>
        <w:rPr>
          <w:spacing w:val="40"/>
          <w:sz w:val="22"/>
        </w:rPr>
        <w:t> </w:t>
      </w:r>
      <w:r>
        <w:rPr>
          <w:sz w:val="22"/>
        </w:rPr>
        <w:t>to</w:t>
      </w:r>
      <w:r>
        <w:rPr>
          <w:spacing w:val="40"/>
          <w:sz w:val="22"/>
        </w:rPr>
        <w:t> </w:t>
      </w:r>
      <w:r>
        <w:rPr>
          <w:sz w:val="22"/>
        </w:rPr>
        <w:t>grant</w:t>
      </w:r>
      <w:r>
        <w:rPr>
          <w:spacing w:val="40"/>
          <w:sz w:val="22"/>
        </w:rPr>
        <w:t> </w:t>
      </w:r>
      <w:r>
        <w:rPr>
          <w:sz w:val="22"/>
        </w:rPr>
        <w:t>immediately the</w:t>
      </w:r>
      <w:r>
        <w:rPr>
          <w:spacing w:val="40"/>
          <w:sz w:val="22"/>
        </w:rPr>
        <w:t> </w:t>
      </w:r>
      <w:r>
        <w:rPr>
          <w:sz w:val="22"/>
        </w:rPr>
        <w:t>financial</w:t>
      </w:r>
      <w:r>
        <w:rPr>
          <w:spacing w:val="40"/>
          <w:sz w:val="22"/>
        </w:rPr>
        <w:t> </w:t>
      </w:r>
      <w:r>
        <w:rPr>
          <w:sz w:val="22"/>
        </w:rPr>
        <w:t>assistance</w:t>
      </w:r>
      <w:r>
        <w:rPr>
          <w:spacing w:val="40"/>
          <w:sz w:val="22"/>
        </w:rPr>
        <w:t> </w:t>
      </w:r>
      <w:r>
        <w:rPr>
          <w:sz w:val="22"/>
        </w:rPr>
        <w:t>to</w:t>
      </w:r>
      <w:r>
        <w:rPr>
          <w:spacing w:val="40"/>
          <w:sz w:val="22"/>
        </w:rPr>
        <w:t> </w:t>
      </w:r>
      <w:r>
        <w:rPr>
          <w:sz w:val="22"/>
        </w:rPr>
        <w:t>the</w:t>
      </w:r>
      <w:r>
        <w:rPr>
          <w:spacing w:val="40"/>
          <w:sz w:val="22"/>
        </w:rPr>
        <w:t> </w:t>
      </w:r>
      <w:r>
        <w:rPr>
          <w:sz w:val="22"/>
        </w:rPr>
        <w:t>OAU</w:t>
      </w:r>
      <w:r>
        <w:rPr>
          <w:spacing w:val="40"/>
          <w:sz w:val="22"/>
        </w:rPr>
        <w:t> </w:t>
      </w:r>
      <w:r>
        <w:rPr>
          <w:sz w:val="22"/>
        </w:rPr>
        <w:t>Group</w:t>
      </w:r>
      <w:r>
        <w:rPr>
          <w:spacing w:val="40"/>
          <w:sz w:val="22"/>
        </w:rPr>
        <w:t> </w:t>
      </w:r>
      <w:r>
        <w:rPr>
          <w:sz w:val="22"/>
        </w:rPr>
        <w:t>in</w:t>
      </w:r>
      <w:r>
        <w:rPr>
          <w:spacing w:val="40"/>
          <w:sz w:val="22"/>
        </w:rPr>
        <w:t> </w:t>
      </w:r>
      <w:r>
        <w:rPr>
          <w:sz w:val="22"/>
        </w:rPr>
        <w:t>Brussels</w:t>
      </w:r>
      <w:r>
        <w:rPr>
          <w:spacing w:val="40"/>
          <w:sz w:val="22"/>
        </w:rPr>
        <w:t> </w:t>
      </w:r>
      <w:r>
        <w:rPr>
          <w:sz w:val="22"/>
        </w:rPr>
        <w:t>to</w:t>
      </w:r>
      <w:r>
        <w:rPr>
          <w:spacing w:val="40"/>
          <w:sz w:val="22"/>
        </w:rPr>
        <w:t> </w:t>
      </w:r>
      <w:r>
        <w:rPr>
          <w:sz w:val="22"/>
        </w:rPr>
        <w:t>enable</w:t>
      </w:r>
      <w:r>
        <w:rPr>
          <w:spacing w:val="40"/>
          <w:sz w:val="22"/>
        </w:rPr>
        <w:t> </w:t>
      </w:r>
      <w:r>
        <w:rPr>
          <w:sz w:val="22"/>
        </w:rPr>
        <w:t>it</w:t>
      </w:r>
      <w:r>
        <w:rPr>
          <w:spacing w:val="40"/>
          <w:sz w:val="22"/>
        </w:rPr>
        <w:t> </w:t>
      </w:r>
      <w:r>
        <w:rPr>
          <w:sz w:val="22"/>
        </w:rPr>
        <w:t>carry</w:t>
      </w:r>
      <w:r>
        <w:rPr>
          <w:spacing w:val="40"/>
          <w:sz w:val="22"/>
        </w:rPr>
        <w:t> </w:t>
      </w:r>
      <w:r>
        <w:rPr>
          <w:sz w:val="22"/>
        </w:rPr>
        <w:t>on normally its activities and to be more operational;</w:t>
      </w:r>
    </w:p>
    <w:p>
      <w:pPr>
        <w:spacing w:after="0" w:line="369" w:lineRule="auto"/>
        <w:jc w:val="both"/>
        <w:rPr>
          <w:sz w:val="22"/>
        </w:rPr>
        <w:sectPr>
          <w:headerReference w:type="default" r:id="rId5"/>
          <w:type w:val="continuous"/>
          <w:pgSz w:w="12240" w:h="15840"/>
          <w:pgMar w:header="701" w:footer="0" w:top="1260" w:bottom="280" w:left="1720" w:right="1440"/>
          <w:pgNumType w:start="1"/>
        </w:sectPr>
      </w:pPr>
    </w:p>
    <w:p>
      <w:pPr>
        <w:pStyle w:val="ListParagraph"/>
        <w:numPr>
          <w:ilvl w:val="0"/>
          <w:numId w:val="1"/>
        </w:numPr>
        <w:tabs>
          <w:tab w:pos="1185" w:val="left" w:leader="none"/>
        </w:tabs>
        <w:spacing w:line="367" w:lineRule="auto" w:before="85" w:after="0"/>
        <w:ind w:left="1183" w:right="422" w:hanging="336"/>
        <w:jc w:val="both"/>
        <w:rPr>
          <w:sz w:val="22"/>
        </w:rPr>
      </w:pPr>
      <w:r>
        <w:rPr>
          <w:b/>
          <w:sz w:val="22"/>
        </w:rPr>
        <w:t>CALLS ON </w:t>
      </w:r>
      <w:r>
        <w:rPr>
          <w:sz w:val="22"/>
        </w:rPr>
        <w:t>African members of the ACP Group to assist the African</w:t>
      </w:r>
      <w:r>
        <w:rPr>
          <w:spacing w:val="80"/>
          <w:sz w:val="22"/>
        </w:rPr>
        <w:t> </w:t>
      </w:r>
      <w:r>
        <w:rPr>
          <w:sz w:val="22"/>
        </w:rPr>
        <w:t>Organizations with economic and social character and, especially, OATUU, to obtain</w:t>
      </w:r>
      <w:r>
        <w:rPr>
          <w:spacing w:val="40"/>
          <w:sz w:val="22"/>
        </w:rPr>
        <w:t> </w:t>
      </w:r>
      <w:r>
        <w:rPr>
          <w:sz w:val="22"/>
        </w:rPr>
        <w:t>advisory</w:t>
      </w:r>
      <w:r>
        <w:rPr>
          <w:spacing w:val="40"/>
          <w:sz w:val="22"/>
        </w:rPr>
        <w:t> </w:t>
      </w:r>
      <w:r>
        <w:rPr>
          <w:sz w:val="22"/>
        </w:rPr>
        <w:t>status</w:t>
      </w:r>
      <w:r>
        <w:rPr>
          <w:spacing w:val="40"/>
          <w:sz w:val="22"/>
        </w:rPr>
        <w:t> </w:t>
      </w:r>
      <w:r>
        <w:rPr>
          <w:sz w:val="22"/>
        </w:rPr>
        <w:t>similar</w:t>
      </w:r>
      <w:r>
        <w:rPr>
          <w:spacing w:val="40"/>
          <w:sz w:val="22"/>
        </w:rPr>
        <w:t> </w:t>
      </w:r>
      <w:r>
        <w:rPr>
          <w:sz w:val="22"/>
        </w:rPr>
        <w:t>to</w:t>
      </w:r>
      <w:r>
        <w:rPr>
          <w:spacing w:val="40"/>
          <w:sz w:val="22"/>
        </w:rPr>
        <w:t> </w:t>
      </w:r>
      <w:r>
        <w:rPr>
          <w:sz w:val="22"/>
        </w:rPr>
        <w:t>the</w:t>
      </w:r>
      <w:r>
        <w:rPr>
          <w:spacing w:val="40"/>
          <w:sz w:val="22"/>
        </w:rPr>
        <w:t> </w:t>
      </w:r>
      <w:r>
        <w:rPr>
          <w:sz w:val="22"/>
        </w:rPr>
        <w:t>one</w:t>
      </w:r>
      <w:r>
        <w:rPr>
          <w:spacing w:val="40"/>
          <w:sz w:val="22"/>
        </w:rPr>
        <w:t> </w:t>
      </w:r>
      <w:r>
        <w:rPr>
          <w:sz w:val="22"/>
        </w:rPr>
        <w:t>granted</w:t>
      </w:r>
      <w:r>
        <w:rPr>
          <w:spacing w:val="40"/>
          <w:sz w:val="22"/>
        </w:rPr>
        <w:t> </w:t>
      </w:r>
      <w:r>
        <w:rPr>
          <w:sz w:val="22"/>
        </w:rPr>
        <w:t>their</w:t>
      </w:r>
      <w:r>
        <w:rPr>
          <w:spacing w:val="40"/>
          <w:sz w:val="22"/>
        </w:rPr>
        <w:t> </w:t>
      </w:r>
      <w:r>
        <w:rPr>
          <w:sz w:val="22"/>
        </w:rPr>
        <w:t>European</w:t>
      </w:r>
      <w:r>
        <w:rPr>
          <w:spacing w:val="40"/>
          <w:sz w:val="22"/>
        </w:rPr>
        <w:t> </w:t>
      </w:r>
      <w:r>
        <w:rPr>
          <w:sz w:val="22"/>
        </w:rPr>
        <w:t>counterparts within the framework of the Lome convention.</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55776" type="#_x0000_t202" id="docshape1" filled="false" stroked="false">
          <v:textbox inset="0,0,0,0">
            <w:txbxContent>
              <w:p>
                <w:pPr>
                  <w:pStyle w:val="BodyText"/>
                  <w:spacing w:before="15"/>
                  <w:ind w:left="20"/>
                </w:pPr>
                <w:r>
                  <w:rPr/>
                  <w:t>CM/Res.</w:t>
                </w:r>
                <w:r>
                  <w:rPr>
                    <w:spacing w:val="26"/>
                  </w:rPr>
                  <w:t> </w:t>
                </w:r>
                <w:r>
                  <w:rPr>
                    <w:spacing w:val="-2"/>
                  </w:rPr>
                  <w:t>656(XXXI)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741" w:right="2034"/>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421"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2023-06-07T08:57:22Z</dcterms:created>
  <dcterms:modified xsi:type="dcterms:W3CDTF">2023-06-07T08:57:22Z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