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u w:val="none"/>
        </w:rPr>
      </w:pPr>
      <w:r>
        <w:rPr>
          <w:u w:val="single"/>
        </w:rPr>
        <w:t>RESOLUTION</w:t>
      </w:r>
      <w:r>
        <w:rPr>
          <w:spacing w:val="8"/>
          <w:u w:val="single"/>
        </w:rPr>
        <w:t> </w:t>
      </w:r>
      <w:r>
        <w:rPr>
          <w:u w:val="single"/>
        </w:rPr>
        <w:t>ON</w:t>
      </w:r>
      <w:r>
        <w:rPr>
          <w:spacing w:val="9"/>
          <w:u w:val="single"/>
        </w:rPr>
        <w:t> </w:t>
      </w:r>
      <w:r>
        <w:rPr>
          <w:u w:val="single"/>
        </w:rPr>
        <w:t>THE</w:t>
      </w:r>
      <w:r>
        <w:rPr>
          <w:spacing w:val="8"/>
          <w:u w:val="single"/>
        </w:rPr>
        <w:t> </w:t>
      </w:r>
      <w:r>
        <w:rPr>
          <w:u w:val="single"/>
        </w:rPr>
        <w:t>COMMON</w:t>
      </w:r>
      <w:r>
        <w:rPr>
          <w:spacing w:val="9"/>
          <w:u w:val="single"/>
        </w:rPr>
        <w:t> </w:t>
      </w:r>
      <w:r>
        <w:rPr>
          <w:spacing w:val="-4"/>
          <w:u w:val="single"/>
        </w:rPr>
        <w:t>FUND</w:t>
      </w:r>
    </w:p>
    <w:p>
      <w:pPr>
        <w:pStyle w:val="BodyText"/>
        <w:rPr>
          <w:b/>
          <w:sz w:val="20"/>
        </w:rPr>
      </w:pPr>
    </w:p>
    <w:p>
      <w:pPr>
        <w:pStyle w:val="BodyText"/>
        <w:spacing w:before="10"/>
        <w:rPr>
          <w:b/>
          <w:sz w:val="16"/>
        </w:rPr>
      </w:pPr>
    </w:p>
    <w:p>
      <w:pPr>
        <w:pStyle w:val="BodyText"/>
        <w:spacing w:line="364" w:lineRule="auto" w:before="96"/>
        <w:ind w:left="171" w:firstLine="676"/>
      </w:pPr>
      <w:r>
        <w:rPr/>
        <w:t>The Council of Ministers of the Organization of African Unity, meeting in its Thirty-First Ordinary Session in Khartoum, Democratic Republic of the Sudan, from 7 to 18 July 1978,</w:t>
      </w:r>
    </w:p>
    <w:p>
      <w:pPr>
        <w:pStyle w:val="BodyText"/>
        <w:spacing w:before="6"/>
        <w:rPr>
          <w:sz w:val="34"/>
        </w:rPr>
      </w:pPr>
    </w:p>
    <w:p>
      <w:pPr>
        <w:pStyle w:val="BodyText"/>
        <w:spacing w:line="369" w:lineRule="auto"/>
        <w:ind w:left="171" w:firstLine="676"/>
      </w:pPr>
      <w:r>
        <w:rPr>
          <w:b/>
          <w:u w:val="single"/>
        </w:rPr>
        <w:t>Recalling</w:t>
      </w:r>
      <w:r>
        <w:rPr>
          <w:b/>
          <w:spacing w:val="40"/>
        </w:rPr>
        <w:t>  </w:t>
      </w:r>
      <w:r>
        <w:rPr/>
        <w:t>UNCTAD</w:t>
      </w:r>
      <w:r>
        <w:rPr>
          <w:spacing w:val="40"/>
        </w:rPr>
        <w:t>  </w:t>
      </w:r>
      <w:r>
        <w:rPr/>
        <w:t>resolution</w:t>
      </w:r>
      <w:r>
        <w:rPr>
          <w:spacing w:val="40"/>
        </w:rPr>
        <w:t>  </w:t>
      </w:r>
      <w:r>
        <w:rPr/>
        <w:t>93</w:t>
      </w:r>
      <w:r>
        <w:rPr>
          <w:spacing w:val="40"/>
        </w:rPr>
        <w:t>  </w:t>
      </w:r>
      <w:r>
        <w:rPr/>
        <w:t>(IV)</w:t>
      </w:r>
      <w:r>
        <w:rPr>
          <w:spacing w:val="40"/>
        </w:rPr>
        <w:t>  </w:t>
      </w:r>
      <w:r>
        <w:rPr/>
        <w:t>on</w:t>
      </w:r>
      <w:r>
        <w:rPr>
          <w:spacing w:val="40"/>
        </w:rPr>
        <w:t>  </w:t>
      </w:r>
      <w:r>
        <w:rPr/>
        <w:t>the</w:t>
      </w:r>
      <w:r>
        <w:rPr>
          <w:spacing w:val="40"/>
        </w:rPr>
        <w:t>  </w:t>
      </w:r>
      <w:r>
        <w:rPr/>
        <w:t>Integrated</w:t>
      </w:r>
      <w:r>
        <w:rPr>
          <w:spacing w:val="40"/>
        </w:rPr>
        <w:t>  </w:t>
      </w:r>
      <w:r>
        <w:rPr/>
        <w:t>programme</w:t>
      </w:r>
      <w:r>
        <w:rPr>
          <w:spacing w:val="40"/>
        </w:rPr>
        <w:t>  </w:t>
      </w:r>
      <w:r>
        <w:rPr/>
        <w:t>for </w:t>
      </w:r>
      <w:r>
        <w:rPr>
          <w:spacing w:val="-2"/>
        </w:rPr>
        <w:t>Commodities,</w:t>
      </w:r>
    </w:p>
    <w:p>
      <w:pPr>
        <w:pStyle w:val="BodyText"/>
        <w:spacing w:before="8"/>
        <w:rPr>
          <w:sz w:val="33"/>
        </w:rPr>
      </w:pPr>
    </w:p>
    <w:p>
      <w:pPr>
        <w:pStyle w:val="BodyText"/>
        <w:spacing w:line="369" w:lineRule="auto"/>
        <w:ind w:left="171" w:right="423" w:firstLine="677"/>
        <w:jc w:val="both"/>
      </w:pPr>
      <w:r>
        <w:rPr>
          <w:b/>
          <w:u w:val="single"/>
        </w:rPr>
        <w:t>Bearing in mind</w:t>
      </w:r>
      <w:r>
        <w:rPr>
          <w:b/>
        </w:rPr>
        <w:t> </w:t>
      </w:r>
      <w:r>
        <w:rPr/>
        <w:t>the agreement reached in the Conference on International Economic Co-operation</w:t>
      </w:r>
      <w:r>
        <w:rPr>
          <w:spacing w:val="35"/>
        </w:rPr>
        <w:t> </w:t>
      </w:r>
      <w:r>
        <w:rPr/>
        <w:t>(CIEC)</w:t>
      </w:r>
      <w:r>
        <w:rPr>
          <w:spacing w:val="34"/>
        </w:rPr>
        <w:t> </w:t>
      </w:r>
      <w:r>
        <w:rPr/>
        <w:t>in</w:t>
      </w:r>
      <w:r>
        <w:rPr>
          <w:spacing w:val="35"/>
        </w:rPr>
        <w:t> </w:t>
      </w:r>
      <w:r>
        <w:rPr/>
        <w:t>Paris</w:t>
      </w:r>
      <w:r>
        <w:rPr>
          <w:spacing w:val="34"/>
        </w:rPr>
        <w:t> </w:t>
      </w:r>
      <w:r>
        <w:rPr/>
        <w:t>in</w:t>
      </w:r>
      <w:r>
        <w:rPr>
          <w:spacing w:val="35"/>
        </w:rPr>
        <w:t> </w:t>
      </w:r>
      <w:r>
        <w:rPr/>
        <w:t>July</w:t>
      </w:r>
      <w:r>
        <w:rPr>
          <w:spacing w:val="34"/>
        </w:rPr>
        <w:t> </w:t>
      </w:r>
      <w:r>
        <w:rPr/>
        <w:t>1977</w:t>
      </w:r>
      <w:r>
        <w:rPr>
          <w:spacing w:val="35"/>
        </w:rPr>
        <w:t> </w:t>
      </w:r>
      <w:r>
        <w:rPr/>
        <w:t>that</w:t>
      </w:r>
      <w:r>
        <w:rPr>
          <w:spacing w:val="34"/>
        </w:rPr>
        <w:t> </w:t>
      </w:r>
      <w:r>
        <w:rPr/>
        <w:t>a</w:t>
      </w:r>
      <w:r>
        <w:rPr>
          <w:spacing w:val="34"/>
        </w:rPr>
        <w:t> </w:t>
      </w:r>
      <w:r>
        <w:rPr/>
        <w:t>Common</w:t>
      </w:r>
      <w:r>
        <w:rPr>
          <w:spacing w:val="35"/>
        </w:rPr>
        <w:t> </w:t>
      </w:r>
      <w:r>
        <w:rPr/>
        <w:t>fund</w:t>
      </w:r>
      <w:r>
        <w:rPr>
          <w:spacing w:val="35"/>
        </w:rPr>
        <w:t> </w:t>
      </w:r>
      <w:r>
        <w:rPr/>
        <w:t>should</w:t>
      </w:r>
      <w:r>
        <w:rPr>
          <w:spacing w:val="35"/>
        </w:rPr>
        <w:t> </w:t>
      </w:r>
      <w:r>
        <w:rPr/>
        <w:t>be</w:t>
      </w:r>
      <w:r>
        <w:rPr>
          <w:spacing w:val="34"/>
        </w:rPr>
        <w:t> </w:t>
      </w:r>
      <w:r>
        <w:rPr/>
        <w:t>established</w:t>
      </w:r>
      <w:r>
        <w:rPr>
          <w:spacing w:val="35"/>
        </w:rPr>
        <w:t> </w:t>
      </w:r>
      <w:r>
        <w:rPr/>
        <w:t>as</w:t>
      </w:r>
      <w:r>
        <w:rPr>
          <w:spacing w:val="34"/>
        </w:rPr>
        <w:t> </w:t>
      </w:r>
      <w:r>
        <w:rPr/>
        <w:t>a new entity to serve as a key instrument in attainting the agreed objectives of the Integrated Programme for commodities,</w:t>
      </w:r>
    </w:p>
    <w:p>
      <w:pPr>
        <w:pStyle w:val="BodyText"/>
        <w:spacing w:before="11"/>
        <w:rPr>
          <w:sz w:val="33"/>
        </w:rPr>
      </w:pPr>
    </w:p>
    <w:p>
      <w:pPr>
        <w:pStyle w:val="BodyText"/>
        <w:spacing w:line="367" w:lineRule="auto"/>
        <w:ind w:left="171" w:right="426" w:firstLine="676"/>
        <w:jc w:val="both"/>
      </w:pPr>
      <w:r>
        <w:rPr>
          <w:b/>
          <w:u w:val="single"/>
        </w:rPr>
        <w:t>Noting with regret</w:t>
      </w:r>
      <w:r>
        <w:rPr>
          <w:b/>
        </w:rPr>
        <w:t> </w:t>
      </w:r>
      <w:r>
        <w:rPr/>
        <w:t>that the United Nations Negotiating Conference on a Common</w:t>
      </w:r>
      <w:r>
        <w:rPr>
          <w:spacing w:val="40"/>
        </w:rPr>
        <w:t> </w:t>
      </w:r>
      <w:r>
        <w:rPr/>
        <w:t>Fund was not able to arrive at an agreement on the main constituent elements of the Fund despite two sessions in March and November 1977,</w:t>
      </w:r>
    </w:p>
    <w:p>
      <w:pPr>
        <w:pStyle w:val="BodyText"/>
        <w:spacing w:before="3"/>
        <w:rPr>
          <w:sz w:val="34"/>
        </w:rPr>
      </w:pPr>
    </w:p>
    <w:p>
      <w:pPr>
        <w:pStyle w:val="BodyText"/>
        <w:spacing w:line="369" w:lineRule="auto"/>
        <w:ind w:left="171" w:right="430" w:firstLine="676"/>
        <w:jc w:val="both"/>
      </w:pPr>
      <w:r>
        <w:rPr>
          <w:b/>
          <w:u w:val="single"/>
        </w:rPr>
        <w:t>Concerned</w:t>
      </w:r>
      <w:r>
        <w:rPr>
          <w:b/>
        </w:rPr>
        <w:t> </w:t>
      </w:r>
      <w:r>
        <w:rPr/>
        <w:t>at the slow pace of progress in the preparatory work and negotiations on individual commodities under the Integrated Programme,</w:t>
      </w:r>
    </w:p>
    <w:p>
      <w:pPr>
        <w:pStyle w:val="BodyText"/>
        <w:spacing w:before="8"/>
        <w:rPr>
          <w:sz w:val="33"/>
        </w:rPr>
      </w:pPr>
    </w:p>
    <w:p>
      <w:pPr>
        <w:pStyle w:val="BodyText"/>
        <w:spacing w:line="369" w:lineRule="auto"/>
        <w:ind w:left="171" w:right="423" w:firstLine="676"/>
        <w:jc w:val="both"/>
      </w:pPr>
      <w:r>
        <w:rPr>
          <w:b/>
          <w:u w:val="single"/>
        </w:rPr>
        <w:t>Recalling</w:t>
      </w:r>
      <w:r>
        <w:rPr>
          <w:b/>
        </w:rPr>
        <w:t> </w:t>
      </w:r>
      <w:r>
        <w:rPr/>
        <w:t>its resolution 611 (XXX) adopted at its 30</w:t>
      </w:r>
      <w:r>
        <w:rPr>
          <w:vertAlign w:val="superscript"/>
        </w:rPr>
        <w:t>th</w:t>
      </w:r>
      <w:r>
        <w:rPr>
          <w:vertAlign w:val="baseline"/>
        </w:rPr>
        <w:t> Ordinary Session in Tripoli, Libya, in February 1978 and UN General Assembly resolution 32/193 of 19 December 1977,</w:t>
      </w:r>
      <w:r>
        <w:rPr>
          <w:spacing w:val="80"/>
          <w:vertAlign w:val="baseline"/>
        </w:rPr>
        <w:t> </w:t>
      </w:r>
      <w:r>
        <w:rPr>
          <w:vertAlign w:val="baseline"/>
        </w:rPr>
        <w:t>on the UN Negotiating Conference on a Common fund under the IPC,</w:t>
      </w:r>
    </w:p>
    <w:p>
      <w:pPr>
        <w:pStyle w:val="BodyText"/>
        <w:rPr>
          <w:sz w:val="34"/>
        </w:rPr>
      </w:pPr>
    </w:p>
    <w:p>
      <w:pPr>
        <w:pStyle w:val="BodyText"/>
        <w:spacing w:line="367" w:lineRule="auto"/>
        <w:ind w:left="171" w:right="424" w:firstLine="676"/>
        <w:jc w:val="both"/>
      </w:pPr>
      <w:r>
        <w:rPr>
          <w:b/>
          <w:u w:val="single"/>
        </w:rPr>
        <w:t>Emphasizing</w:t>
      </w:r>
      <w:r>
        <w:rPr>
          <w:b/>
          <w:spacing w:val="80"/>
        </w:rPr>
        <w:t> </w:t>
      </w:r>
      <w:r>
        <w:rPr/>
        <w:t>the</w:t>
      </w:r>
      <w:r>
        <w:rPr>
          <w:spacing w:val="30"/>
        </w:rPr>
        <w:t> </w:t>
      </w:r>
      <w:r>
        <w:rPr/>
        <w:t>crucial</w:t>
      </w:r>
      <w:r>
        <w:rPr>
          <w:spacing w:val="30"/>
        </w:rPr>
        <w:t> </w:t>
      </w:r>
      <w:r>
        <w:rPr/>
        <w:t>importance</w:t>
      </w:r>
      <w:r>
        <w:rPr>
          <w:spacing w:val="30"/>
        </w:rPr>
        <w:t> </w:t>
      </w:r>
      <w:r>
        <w:rPr/>
        <w:t>of</w:t>
      </w:r>
      <w:r>
        <w:rPr>
          <w:spacing w:val="30"/>
        </w:rPr>
        <w:t> </w:t>
      </w:r>
      <w:r>
        <w:rPr/>
        <w:t>the</w:t>
      </w:r>
      <w:r>
        <w:rPr>
          <w:spacing w:val="30"/>
        </w:rPr>
        <w:t> </w:t>
      </w:r>
      <w:r>
        <w:rPr/>
        <w:t>establishment</w:t>
      </w:r>
      <w:r>
        <w:rPr>
          <w:spacing w:val="30"/>
        </w:rPr>
        <w:t> </w:t>
      </w:r>
      <w:r>
        <w:rPr/>
        <w:t>of</w:t>
      </w:r>
      <w:r>
        <w:rPr>
          <w:spacing w:val="30"/>
        </w:rPr>
        <w:t> </w:t>
      </w:r>
      <w:r>
        <w:rPr/>
        <w:t>the</w:t>
      </w:r>
      <w:r>
        <w:rPr>
          <w:spacing w:val="30"/>
        </w:rPr>
        <w:t> </w:t>
      </w:r>
      <w:r>
        <w:rPr/>
        <w:t>Common</w:t>
      </w:r>
      <w:r>
        <w:rPr>
          <w:spacing w:val="30"/>
        </w:rPr>
        <w:t> </w:t>
      </w:r>
      <w:r>
        <w:rPr/>
        <w:t>fund</w:t>
      </w:r>
      <w:r>
        <w:rPr>
          <w:spacing w:val="30"/>
        </w:rPr>
        <w:t> </w:t>
      </w:r>
      <w:r>
        <w:rPr/>
        <w:t>and the implementation of the Integrated Programme for Commodities in the wider context of the relations between developed and developing countries and of the efforts to establish a New International Economic Order:</w:t>
      </w:r>
    </w:p>
    <w:p>
      <w:pPr>
        <w:pStyle w:val="BodyText"/>
        <w:spacing w:before="5"/>
        <w:rPr>
          <w:sz w:val="34"/>
        </w:rPr>
      </w:pPr>
    </w:p>
    <w:p>
      <w:pPr>
        <w:pStyle w:val="ListParagraph"/>
        <w:numPr>
          <w:ilvl w:val="0"/>
          <w:numId w:val="1"/>
        </w:numPr>
        <w:tabs>
          <w:tab w:pos="1185" w:val="left" w:leader="none"/>
        </w:tabs>
        <w:spacing w:line="240" w:lineRule="auto" w:before="0" w:after="0"/>
        <w:ind w:left="1184" w:right="0" w:hanging="337"/>
        <w:jc w:val="left"/>
        <w:rPr>
          <w:sz w:val="22"/>
        </w:rPr>
      </w:pPr>
      <w:r>
        <w:rPr>
          <w:b/>
          <w:sz w:val="22"/>
        </w:rPr>
        <w:t>RE-ITERATES</w:t>
      </w:r>
      <w:r>
        <w:rPr>
          <w:b/>
          <w:spacing w:val="17"/>
          <w:sz w:val="22"/>
        </w:rPr>
        <w:t> </w:t>
      </w:r>
      <w:r>
        <w:rPr>
          <w:sz w:val="22"/>
        </w:rPr>
        <w:t>the</w:t>
      </w:r>
      <w:r>
        <w:rPr>
          <w:spacing w:val="6"/>
          <w:sz w:val="22"/>
        </w:rPr>
        <w:t> </w:t>
      </w:r>
      <w:r>
        <w:rPr>
          <w:sz w:val="22"/>
        </w:rPr>
        <w:t>view</w:t>
      </w:r>
      <w:r>
        <w:rPr>
          <w:spacing w:val="7"/>
          <w:sz w:val="22"/>
        </w:rPr>
        <w:t> </w:t>
      </w:r>
      <w:r>
        <w:rPr>
          <w:sz w:val="22"/>
        </w:rPr>
        <w:t>that</w:t>
      </w:r>
      <w:r>
        <w:rPr>
          <w:spacing w:val="6"/>
          <w:sz w:val="22"/>
        </w:rPr>
        <w:t> </w:t>
      </w:r>
      <w:r>
        <w:rPr>
          <w:sz w:val="22"/>
        </w:rPr>
        <w:t>the</w:t>
      </w:r>
      <w:r>
        <w:rPr>
          <w:spacing w:val="7"/>
          <w:sz w:val="22"/>
        </w:rPr>
        <w:t> </w:t>
      </w:r>
      <w:r>
        <w:rPr>
          <w:sz w:val="22"/>
        </w:rPr>
        <w:t>Common</w:t>
      </w:r>
      <w:r>
        <w:rPr>
          <w:spacing w:val="7"/>
          <w:sz w:val="22"/>
        </w:rPr>
        <w:t> </w:t>
      </w:r>
      <w:r>
        <w:rPr>
          <w:sz w:val="22"/>
        </w:rPr>
        <w:t>Fund</w:t>
      </w:r>
      <w:r>
        <w:rPr>
          <w:spacing w:val="7"/>
          <w:sz w:val="22"/>
        </w:rPr>
        <w:t> </w:t>
      </w:r>
      <w:r>
        <w:rPr>
          <w:spacing w:val="-2"/>
          <w:sz w:val="22"/>
        </w:rPr>
        <w:t>should:</w:t>
      </w:r>
    </w:p>
    <w:p>
      <w:pPr>
        <w:pStyle w:val="BodyText"/>
        <w:rPr>
          <w:sz w:val="24"/>
        </w:rPr>
      </w:pPr>
    </w:p>
    <w:p>
      <w:pPr>
        <w:pStyle w:val="BodyText"/>
        <w:spacing w:before="2"/>
        <w:rPr>
          <w:sz w:val="21"/>
        </w:rPr>
      </w:pPr>
    </w:p>
    <w:p>
      <w:pPr>
        <w:pStyle w:val="ListParagraph"/>
        <w:numPr>
          <w:ilvl w:val="1"/>
          <w:numId w:val="1"/>
        </w:numPr>
        <w:tabs>
          <w:tab w:pos="1524" w:val="left" w:leader="none"/>
          <w:tab w:pos="1525" w:val="left" w:leader="none"/>
        </w:tabs>
        <w:spacing w:line="374" w:lineRule="auto" w:before="0" w:after="0"/>
        <w:ind w:left="1525" w:right="429" w:hanging="342"/>
        <w:jc w:val="left"/>
        <w:rPr>
          <w:sz w:val="22"/>
        </w:rPr>
      </w:pPr>
      <w:r>
        <w:rPr>
          <w:sz w:val="22"/>
        </w:rPr>
        <w:t>not</w:t>
      </w:r>
      <w:r>
        <w:rPr>
          <w:spacing w:val="40"/>
          <w:sz w:val="22"/>
        </w:rPr>
        <w:t> </w:t>
      </w:r>
      <w:r>
        <w:rPr>
          <w:sz w:val="22"/>
        </w:rPr>
        <w:t>only</w:t>
      </w:r>
      <w:r>
        <w:rPr>
          <w:spacing w:val="40"/>
          <w:sz w:val="22"/>
        </w:rPr>
        <w:t> </w:t>
      </w:r>
      <w:r>
        <w:rPr>
          <w:sz w:val="22"/>
        </w:rPr>
        <w:t>finance</w:t>
      </w:r>
      <w:r>
        <w:rPr>
          <w:spacing w:val="40"/>
          <w:sz w:val="22"/>
        </w:rPr>
        <w:t> </w:t>
      </w:r>
      <w:r>
        <w:rPr>
          <w:sz w:val="22"/>
        </w:rPr>
        <w:t>buffer</w:t>
      </w:r>
      <w:r>
        <w:rPr>
          <w:spacing w:val="40"/>
          <w:sz w:val="22"/>
        </w:rPr>
        <w:t> </w:t>
      </w:r>
      <w:r>
        <w:rPr>
          <w:sz w:val="22"/>
        </w:rPr>
        <w:t>stocks</w:t>
      </w:r>
      <w:r>
        <w:rPr>
          <w:spacing w:val="40"/>
          <w:sz w:val="22"/>
        </w:rPr>
        <w:t> </w:t>
      </w:r>
      <w:r>
        <w:rPr>
          <w:sz w:val="22"/>
        </w:rPr>
        <w:t>but</w:t>
      </w:r>
      <w:r>
        <w:rPr>
          <w:spacing w:val="40"/>
          <w:sz w:val="22"/>
        </w:rPr>
        <w:t> </w:t>
      </w:r>
      <w:r>
        <w:rPr>
          <w:sz w:val="22"/>
        </w:rPr>
        <w:t>also</w:t>
      </w:r>
      <w:r>
        <w:rPr>
          <w:spacing w:val="40"/>
          <w:sz w:val="22"/>
        </w:rPr>
        <w:t> </w:t>
      </w:r>
      <w:r>
        <w:rPr>
          <w:sz w:val="22"/>
        </w:rPr>
        <w:t>consider</w:t>
      </w:r>
      <w:r>
        <w:rPr>
          <w:spacing w:val="40"/>
          <w:sz w:val="22"/>
        </w:rPr>
        <w:t> </w:t>
      </w:r>
      <w:r>
        <w:rPr>
          <w:sz w:val="22"/>
        </w:rPr>
        <w:t>other</w:t>
      </w:r>
      <w:r>
        <w:rPr>
          <w:spacing w:val="40"/>
          <w:sz w:val="22"/>
        </w:rPr>
        <w:t> </w:t>
      </w:r>
      <w:r>
        <w:rPr>
          <w:sz w:val="22"/>
        </w:rPr>
        <w:t>measures</w:t>
      </w:r>
      <w:r>
        <w:rPr>
          <w:spacing w:val="40"/>
          <w:sz w:val="22"/>
        </w:rPr>
        <w:t> </w:t>
      </w:r>
      <w:r>
        <w:rPr>
          <w:sz w:val="22"/>
        </w:rPr>
        <w:t>through</w:t>
      </w:r>
      <w:r>
        <w:rPr>
          <w:spacing w:val="40"/>
          <w:sz w:val="22"/>
        </w:rPr>
        <w:t> </w:t>
      </w:r>
      <w:r>
        <w:rPr>
          <w:sz w:val="22"/>
        </w:rPr>
        <w:t>a</w:t>
      </w:r>
      <w:r>
        <w:rPr>
          <w:spacing w:val="40"/>
          <w:sz w:val="22"/>
        </w:rPr>
        <w:t> </w:t>
      </w:r>
      <w:r>
        <w:rPr>
          <w:sz w:val="22"/>
        </w:rPr>
        <w:t>“second window”’</w:t>
      </w:r>
    </w:p>
    <w:p>
      <w:pPr>
        <w:spacing w:after="0" w:line="374" w:lineRule="auto"/>
        <w:jc w:val="left"/>
        <w:rPr>
          <w:sz w:val="22"/>
        </w:rPr>
        <w:sectPr>
          <w:headerReference w:type="default" r:id="rId5"/>
          <w:type w:val="continuous"/>
          <w:pgSz w:w="12240" w:h="15840"/>
          <w:pgMar w:header="701" w:footer="0" w:top="1260" w:bottom="280" w:left="1720" w:right="1440"/>
          <w:pgNumType w:start="1"/>
        </w:sectPr>
      </w:pPr>
    </w:p>
    <w:p>
      <w:pPr>
        <w:pStyle w:val="ListParagraph"/>
        <w:numPr>
          <w:ilvl w:val="1"/>
          <w:numId w:val="1"/>
        </w:numPr>
        <w:tabs>
          <w:tab w:pos="1525" w:val="left" w:leader="none"/>
        </w:tabs>
        <w:spacing w:line="367" w:lineRule="auto" w:before="85" w:after="0"/>
        <w:ind w:left="1524" w:right="425" w:hanging="341"/>
        <w:jc w:val="both"/>
        <w:rPr>
          <w:sz w:val="22"/>
        </w:rPr>
      </w:pPr>
      <w:r>
        <w:rPr>
          <w:sz w:val="22"/>
        </w:rPr>
        <w:t>have substantial paid-in capital of its own, financed by direct government contributions, to enable it to discharge effectively its role of facilitating the establishment of International Commodity Agreements, while recognizing the desirability of moving away from the polarized concepts of a source and pool;</w:t>
      </w:r>
    </w:p>
    <w:p>
      <w:pPr>
        <w:pStyle w:val="BodyText"/>
        <w:spacing w:before="5"/>
        <w:rPr>
          <w:sz w:val="34"/>
        </w:rPr>
      </w:pPr>
    </w:p>
    <w:p>
      <w:pPr>
        <w:pStyle w:val="ListParagraph"/>
        <w:numPr>
          <w:ilvl w:val="0"/>
          <w:numId w:val="1"/>
        </w:numPr>
        <w:tabs>
          <w:tab w:pos="1185" w:val="left" w:leader="none"/>
        </w:tabs>
        <w:spacing w:line="369" w:lineRule="auto" w:before="0" w:after="0"/>
        <w:ind w:left="1183" w:right="426" w:hanging="336"/>
        <w:jc w:val="both"/>
        <w:rPr>
          <w:sz w:val="22"/>
        </w:rPr>
      </w:pPr>
      <w:r>
        <w:rPr>
          <w:b/>
          <w:sz w:val="22"/>
        </w:rPr>
        <w:t>NOTES </w:t>
      </w:r>
      <w:r>
        <w:rPr>
          <w:sz w:val="22"/>
        </w:rPr>
        <w:t>with satisfaction that the intensive consultations undertaken by the Secretary-General</w:t>
      </w:r>
      <w:r>
        <w:rPr>
          <w:spacing w:val="40"/>
          <w:sz w:val="22"/>
        </w:rPr>
        <w:t> </w:t>
      </w:r>
      <w:r>
        <w:rPr>
          <w:sz w:val="22"/>
        </w:rPr>
        <w:t>of</w:t>
      </w:r>
      <w:r>
        <w:rPr>
          <w:spacing w:val="40"/>
          <w:sz w:val="22"/>
        </w:rPr>
        <w:t> </w:t>
      </w:r>
      <w:r>
        <w:rPr>
          <w:sz w:val="22"/>
        </w:rPr>
        <w:t>UNCTAD</w:t>
      </w:r>
      <w:r>
        <w:rPr>
          <w:spacing w:val="40"/>
          <w:sz w:val="22"/>
        </w:rPr>
        <w:t> </w:t>
      </w:r>
      <w:r>
        <w:rPr>
          <w:sz w:val="22"/>
        </w:rPr>
        <w:t>in</w:t>
      </w:r>
      <w:r>
        <w:rPr>
          <w:spacing w:val="40"/>
          <w:sz w:val="22"/>
        </w:rPr>
        <w:t> </w:t>
      </w:r>
      <w:r>
        <w:rPr>
          <w:sz w:val="22"/>
        </w:rPr>
        <w:t>pursuance</w:t>
      </w:r>
      <w:r>
        <w:rPr>
          <w:spacing w:val="40"/>
          <w:sz w:val="22"/>
        </w:rPr>
        <w:t> </w:t>
      </w:r>
      <w:r>
        <w:rPr>
          <w:sz w:val="22"/>
        </w:rPr>
        <w:t>of</w:t>
      </w:r>
      <w:r>
        <w:rPr>
          <w:spacing w:val="40"/>
          <w:sz w:val="22"/>
        </w:rPr>
        <w:t> </w:t>
      </w:r>
      <w:r>
        <w:rPr>
          <w:sz w:val="22"/>
        </w:rPr>
        <w:t>General</w:t>
      </w:r>
      <w:r>
        <w:rPr>
          <w:spacing w:val="40"/>
          <w:sz w:val="22"/>
        </w:rPr>
        <w:t> </w:t>
      </w:r>
      <w:r>
        <w:rPr>
          <w:sz w:val="22"/>
        </w:rPr>
        <w:t>Assembly</w:t>
      </w:r>
      <w:r>
        <w:rPr>
          <w:spacing w:val="40"/>
          <w:sz w:val="22"/>
        </w:rPr>
        <w:t> </w:t>
      </w:r>
      <w:r>
        <w:rPr>
          <w:sz w:val="22"/>
        </w:rPr>
        <w:t>resolution 32/19 to facilitate the resumption of the Negotiating conference on the Common fund indicate possibilities of positive forward movements on the part of some developed</w:t>
      </w:r>
      <w:r>
        <w:rPr>
          <w:spacing w:val="40"/>
          <w:sz w:val="22"/>
        </w:rPr>
        <w:t> </w:t>
      </w:r>
      <w:r>
        <w:rPr>
          <w:sz w:val="22"/>
        </w:rPr>
        <w:t>countries</w:t>
      </w:r>
      <w:r>
        <w:rPr>
          <w:spacing w:val="40"/>
          <w:sz w:val="22"/>
        </w:rPr>
        <w:t> </w:t>
      </w:r>
      <w:r>
        <w:rPr>
          <w:sz w:val="22"/>
        </w:rPr>
        <w:t>on</w:t>
      </w:r>
      <w:r>
        <w:rPr>
          <w:spacing w:val="40"/>
          <w:sz w:val="22"/>
        </w:rPr>
        <w:t> </w:t>
      </w:r>
      <w:r>
        <w:rPr>
          <w:sz w:val="22"/>
        </w:rPr>
        <w:t>the</w:t>
      </w:r>
      <w:r>
        <w:rPr>
          <w:spacing w:val="40"/>
          <w:sz w:val="22"/>
        </w:rPr>
        <w:t> </w:t>
      </w:r>
      <w:r>
        <w:rPr>
          <w:sz w:val="22"/>
        </w:rPr>
        <w:t>financing</w:t>
      </w:r>
      <w:r>
        <w:rPr>
          <w:spacing w:val="40"/>
          <w:sz w:val="22"/>
        </w:rPr>
        <w:t> </w:t>
      </w:r>
      <w:r>
        <w:rPr>
          <w:sz w:val="22"/>
        </w:rPr>
        <w:t>of</w:t>
      </w:r>
      <w:r>
        <w:rPr>
          <w:spacing w:val="40"/>
          <w:sz w:val="22"/>
        </w:rPr>
        <w:t> </w:t>
      </w:r>
      <w:r>
        <w:rPr>
          <w:sz w:val="22"/>
        </w:rPr>
        <w:t>other</w:t>
      </w:r>
      <w:r>
        <w:rPr>
          <w:spacing w:val="40"/>
          <w:sz w:val="22"/>
        </w:rPr>
        <w:t> </w:t>
      </w:r>
      <w:r>
        <w:rPr>
          <w:sz w:val="22"/>
        </w:rPr>
        <w:t>measures</w:t>
      </w:r>
      <w:r>
        <w:rPr>
          <w:spacing w:val="40"/>
          <w:sz w:val="22"/>
        </w:rPr>
        <w:t> </w:t>
      </w:r>
      <w:r>
        <w:rPr>
          <w:sz w:val="22"/>
        </w:rPr>
        <w:t>and</w:t>
      </w:r>
      <w:r>
        <w:rPr>
          <w:spacing w:val="40"/>
          <w:sz w:val="22"/>
        </w:rPr>
        <w:t> </w:t>
      </w:r>
      <w:r>
        <w:rPr>
          <w:sz w:val="22"/>
        </w:rPr>
        <w:t>on</w:t>
      </w:r>
      <w:r>
        <w:rPr>
          <w:spacing w:val="40"/>
          <w:sz w:val="22"/>
        </w:rPr>
        <w:t> </w:t>
      </w:r>
      <w:r>
        <w:rPr>
          <w:sz w:val="22"/>
        </w:rPr>
        <w:t>the</w:t>
      </w:r>
      <w:r>
        <w:rPr>
          <w:spacing w:val="40"/>
          <w:sz w:val="22"/>
        </w:rPr>
        <w:t> </w:t>
      </w:r>
      <w:r>
        <w:rPr>
          <w:sz w:val="22"/>
        </w:rPr>
        <w:t>capital structure of the Fund;</w:t>
      </w:r>
    </w:p>
    <w:p>
      <w:pPr>
        <w:pStyle w:val="BodyText"/>
        <w:spacing w:before="9"/>
        <w:rPr>
          <w:sz w:val="33"/>
        </w:rPr>
      </w:pPr>
    </w:p>
    <w:p>
      <w:pPr>
        <w:pStyle w:val="ListParagraph"/>
        <w:numPr>
          <w:ilvl w:val="0"/>
          <w:numId w:val="1"/>
        </w:numPr>
        <w:tabs>
          <w:tab w:pos="1185" w:val="left" w:leader="none"/>
        </w:tabs>
        <w:spacing w:line="369" w:lineRule="auto" w:before="1" w:after="0"/>
        <w:ind w:left="1183" w:right="427" w:hanging="336"/>
        <w:jc w:val="both"/>
        <w:rPr>
          <w:sz w:val="22"/>
        </w:rPr>
      </w:pPr>
      <w:r>
        <w:rPr>
          <w:b/>
          <w:sz w:val="22"/>
        </w:rPr>
        <w:t>URGES</w:t>
      </w:r>
      <w:r>
        <w:rPr>
          <w:b/>
          <w:spacing w:val="29"/>
          <w:sz w:val="22"/>
        </w:rPr>
        <w:t> </w:t>
      </w:r>
      <w:r>
        <w:rPr>
          <w:sz w:val="22"/>
        </w:rPr>
        <w:t>all</w:t>
      </w:r>
      <w:r>
        <w:rPr>
          <w:spacing w:val="22"/>
          <w:sz w:val="22"/>
        </w:rPr>
        <w:t> </w:t>
      </w:r>
      <w:r>
        <w:rPr>
          <w:sz w:val="22"/>
        </w:rPr>
        <w:t>developed</w:t>
      </w:r>
      <w:r>
        <w:rPr>
          <w:spacing w:val="23"/>
          <w:sz w:val="22"/>
        </w:rPr>
        <w:t> </w:t>
      </w:r>
      <w:r>
        <w:rPr>
          <w:sz w:val="22"/>
        </w:rPr>
        <w:t>countries</w:t>
      </w:r>
      <w:r>
        <w:rPr>
          <w:spacing w:val="22"/>
          <w:sz w:val="22"/>
        </w:rPr>
        <w:t> </w:t>
      </w:r>
      <w:r>
        <w:rPr>
          <w:sz w:val="22"/>
        </w:rPr>
        <w:t>to</w:t>
      </w:r>
      <w:r>
        <w:rPr>
          <w:spacing w:val="22"/>
          <w:sz w:val="22"/>
        </w:rPr>
        <w:t> </w:t>
      </w:r>
      <w:r>
        <w:rPr>
          <w:sz w:val="22"/>
        </w:rPr>
        <w:t>adopt</w:t>
      </w:r>
      <w:r>
        <w:rPr>
          <w:spacing w:val="22"/>
          <w:sz w:val="22"/>
        </w:rPr>
        <w:t> </w:t>
      </w:r>
      <w:r>
        <w:rPr>
          <w:sz w:val="22"/>
        </w:rPr>
        <w:t>a</w:t>
      </w:r>
      <w:r>
        <w:rPr>
          <w:spacing w:val="22"/>
          <w:sz w:val="22"/>
        </w:rPr>
        <w:t> </w:t>
      </w:r>
      <w:r>
        <w:rPr>
          <w:sz w:val="22"/>
        </w:rPr>
        <w:t>more</w:t>
      </w:r>
      <w:r>
        <w:rPr>
          <w:spacing w:val="22"/>
          <w:sz w:val="22"/>
        </w:rPr>
        <w:t> </w:t>
      </w:r>
      <w:r>
        <w:rPr>
          <w:sz w:val="22"/>
        </w:rPr>
        <w:t>positive</w:t>
      </w:r>
      <w:r>
        <w:rPr>
          <w:spacing w:val="22"/>
          <w:sz w:val="22"/>
        </w:rPr>
        <w:t> </w:t>
      </w:r>
      <w:r>
        <w:rPr>
          <w:sz w:val="22"/>
        </w:rPr>
        <w:t>attitude</w:t>
      </w:r>
      <w:r>
        <w:rPr>
          <w:spacing w:val="22"/>
          <w:sz w:val="22"/>
        </w:rPr>
        <w:t> </w:t>
      </w:r>
      <w:r>
        <w:rPr>
          <w:sz w:val="22"/>
        </w:rPr>
        <w:t>on</w:t>
      </w:r>
      <w:r>
        <w:rPr>
          <w:spacing w:val="23"/>
          <w:sz w:val="22"/>
        </w:rPr>
        <w:t> </w:t>
      </w:r>
      <w:r>
        <w:rPr>
          <w:sz w:val="22"/>
        </w:rPr>
        <w:t>the</w:t>
      </w:r>
      <w:r>
        <w:rPr>
          <w:spacing w:val="22"/>
          <w:sz w:val="22"/>
        </w:rPr>
        <w:t> </w:t>
      </w:r>
      <w:r>
        <w:rPr>
          <w:sz w:val="22"/>
        </w:rPr>
        <w:t>question of</w:t>
      </w:r>
      <w:r>
        <w:rPr>
          <w:spacing w:val="24"/>
          <w:sz w:val="22"/>
        </w:rPr>
        <w:t> </w:t>
      </w:r>
      <w:r>
        <w:rPr>
          <w:sz w:val="22"/>
        </w:rPr>
        <w:t>direct</w:t>
      </w:r>
      <w:r>
        <w:rPr>
          <w:spacing w:val="24"/>
          <w:sz w:val="22"/>
        </w:rPr>
        <w:t> </w:t>
      </w:r>
      <w:r>
        <w:rPr>
          <w:sz w:val="22"/>
        </w:rPr>
        <w:t>contributions</w:t>
      </w:r>
      <w:r>
        <w:rPr>
          <w:spacing w:val="24"/>
          <w:sz w:val="22"/>
        </w:rPr>
        <w:t> </w:t>
      </w:r>
      <w:r>
        <w:rPr>
          <w:sz w:val="22"/>
        </w:rPr>
        <w:t>to</w:t>
      </w:r>
      <w:r>
        <w:rPr>
          <w:spacing w:val="24"/>
          <w:sz w:val="22"/>
        </w:rPr>
        <w:t> </w:t>
      </w:r>
      <w:r>
        <w:rPr>
          <w:sz w:val="22"/>
        </w:rPr>
        <w:t>the</w:t>
      </w:r>
      <w:r>
        <w:rPr>
          <w:spacing w:val="24"/>
          <w:sz w:val="22"/>
        </w:rPr>
        <w:t> </w:t>
      </w:r>
      <w:r>
        <w:rPr>
          <w:sz w:val="22"/>
        </w:rPr>
        <w:t>capital</w:t>
      </w:r>
      <w:r>
        <w:rPr>
          <w:spacing w:val="24"/>
          <w:sz w:val="22"/>
        </w:rPr>
        <w:t> </w:t>
      </w:r>
      <w:r>
        <w:rPr>
          <w:sz w:val="22"/>
        </w:rPr>
        <w:t>structure</w:t>
      </w:r>
      <w:r>
        <w:rPr>
          <w:spacing w:val="24"/>
          <w:sz w:val="22"/>
        </w:rPr>
        <w:t> </w:t>
      </w:r>
      <w:r>
        <w:rPr>
          <w:sz w:val="22"/>
        </w:rPr>
        <w:t>of</w:t>
      </w:r>
      <w:r>
        <w:rPr>
          <w:spacing w:val="24"/>
          <w:sz w:val="22"/>
        </w:rPr>
        <w:t> </w:t>
      </w:r>
      <w:r>
        <w:rPr>
          <w:sz w:val="22"/>
        </w:rPr>
        <w:t>the</w:t>
      </w:r>
      <w:r>
        <w:rPr>
          <w:spacing w:val="24"/>
          <w:sz w:val="22"/>
        </w:rPr>
        <w:t> </w:t>
      </w:r>
      <w:r>
        <w:rPr>
          <w:sz w:val="22"/>
        </w:rPr>
        <w:t>Fund</w:t>
      </w:r>
      <w:r>
        <w:rPr>
          <w:spacing w:val="25"/>
          <w:sz w:val="22"/>
        </w:rPr>
        <w:t> </w:t>
      </w:r>
      <w:r>
        <w:rPr>
          <w:sz w:val="22"/>
        </w:rPr>
        <w:t>and</w:t>
      </w:r>
      <w:r>
        <w:rPr>
          <w:spacing w:val="25"/>
          <w:sz w:val="22"/>
        </w:rPr>
        <w:t> </w:t>
      </w:r>
      <w:r>
        <w:rPr>
          <w:sz w:val="22"/>
        </w:rPr>
        <w:t>a</w:t>
      </w:r>
      <w:r>
        <w:rPr>
          <w:spacing w:val="24"/>
          <w:sz w:val="22"/>
        </w:rPr>
        <w:t> </w:t>
      </w:r>
      <w:r>
        <w:rPr>
          <w:sz w:val="22"/>
        </w:rPr>
        <w:t>financing</w:t>
      </w:r>
      <w:r>
        <w:rPr>
          <w:spacing w:val="24"/>
          <w:sz w:val="22"/>
        </w:rPr>
        <w:t> </w:t>
      </w:r>
      <w:r>
        <w:rPr>
          <w:sz w:val="22"/>
        </w:rPr>
        <w:t>role</w:t>
      </w:r>
      <w:r>
        <w:rPr>
          <w:spacing w:val="24"/>
          <w:sz w:val="22"/>
        </w:rPr>
        <w:t> </w:t>
      </w:r>
      <w:r>
        <w:rPr>
          <w:sz w:val="22"/>
        </w:rPr>
        <w:t>of the Fund in respect of measures other than stocking so that the Common fund</w:t>
      </w:r>
      <w:r>
        <w:rPr>
          <w:spacing w:val="80"/>
          <w:w w:val="150"/>
          <w:sz w:val="22"/>
        </w:rPr>
        <w:t> </w:t>
      </w:r>
      <w:r>
        <w:rPr>
          <w:sz w:val="22"/>
        </w:rPr>
        <w:t>would be financially viable, economically meaningful, in a position to play a catalytic role in the conclusion of commodity agreements, and take account of the interests of all commodity producing and consuming countries especially</w:t>
      </w:r>
      <w:r>
        <w:rPr>
          <w:spacing w:val="40"/>
          <w:sz w:val="22"/>
        </w:rPr>
        <w:t> </w:t>
      </w:r>
      <w:r>
        <w:rPr>
          <w:sz w:val="22"/>
        </w:rPr>
        <w:t>developing countries;</w:t>
      </w:r>
    </w:p>
    <w:p>
      <w:pPr>
        <w:pStyle w:val="BodyText"/>
        <w:spacing w:before="3"/>
        <w:rPr>
          <w:sz w:val="33"/>
        </w:rPr>
      </w:pPr>
    </w:p>
    <w:p>
      <w:pPr>
        <w:pStyle w:val="ListParagraph"/>
        <w:numPr>
          <w:ilvl w:val="0"/>
          <w:numId w:val="1"/>
        </w:numPr>
        <w:tabs>
          <w:tab w:pos="1185" w:val="left" w:leader="none"/>
        </w:tabs>
        <w:spacing w:line="369" w:lineRule="auto" w:before="0" w:after="0"/>
        <w:ind w:left="1183" w:right="427" w:hanging="336"/>
        <w:jc w:val="both"/>
        <w:rPr>
          <w:sz w:val="22"/>
        </w:rPr>
      </w:pPr>
      <w:r>
        <w:rPr>
          <w:b/>
          <w:sz w:val="22"/>
        </w:rPr>
        <w:t>URGENTLY CALLS</w:t>
      </w:r>
      <w:r>
        <w:rPr>
          <w:b/>
          <w:spacing w:val="40"/>
          <w:sz w:val="22"/>
        </w:rPr>
        <w:t> </w:t>
      </w:r>
      <w:r>
        <w:rPr>
          <w:sz w:val="22"/>
        </w:rPr>
        <w:t>for the early resumption and the successful conclusion of</w:t>
      </w:r>
      <w:r>
        <w:rPr>
          <w:spacing w:val="40"/>
          <w:sz w:val="22"/>
        </w:rPr>
        <w:t> </w:t>
      </w:r>
      <w:r>
        <w:rPr>
          <w:sz w:val="22"/>
        </w:rPr>
        <w:t>the negotiations on the Common Fund;</w:t>
      </w:r>
    </w:p>
    <w:p>
      <w:pPr>
        <w:pStyle w:val="BodyText"/>
        <w:spacing w:before="8"/>
        <w:rPr>
          <w:sz w:val="33"/>
        </w:rPr>
      </w:pPr>
    </w:p>
    <w:p>
      <w:pPr>
        <w:pStyle w:val="ListParagraph"/>
        <w:numPr>
          <w:ilvl w:val="0"/>
          <w:numId w:val="1"/>
        </w:numPr>
        <w:tabs>
          <w:tab w:pos="1185" w:val="left" w:leader="none"/>
        </w:tabs>
        <w:spacing w:line="369" w:lineRule="auto" w:before="0" w:after="0"/>
        <w:ind w:left="1183" w:right="429" w:hanging="336"/>
        <w:jc w:val="both"/>
        <w:rPr>
          <w:sz w:val="22"/>
        </w:rPr>
      </w:pPr>
      <w:r>
        <w:rPr>
          <w:b/>
          <w:sz w:val="22"/>
        </w:rPr>
        <w:t>URGES </w:t>
      </w:r>
      <w:r>
        <w:rPr>
          <w:sz w:val="22"/>
        </w:rPr>
        <w:t>all countries to make greater efforts to make more rapid progress in the preparatory</w:t>
      </w:r>
      <w:r>
        <w:rPr>
          <w:spacing w:val="40"/>
          <w:sz w:val="22"/>
        </w:rPr>
        <w:t> </w:t>
      </w:r>
      <w:r>
        <w:rPr>
          <w:sz w:val="22"/>
        </w:rPr>
        <w:t>work</w:t>
      </w:r>
      <w:r>
        <w:rPr>
          <w:spacing w:val="40"/>
          <w:sz w:val="22"/>
        </w:rPr>
        <w:t> </w:t>
      </w:r>
      <w:r>
        <w:rPr>
          <w:sz w:val="22"/>
        </w:rPr>
        <w:t>on</w:t>
      </w:r>
      <w:r>
        <w:rPr>
          <w:spacing w:val="40"/>
          <w:sz w:val="22"/>
        </w:rPr>
        <w:t> </w:t>
      </w:r>
      <w:r>
        <w:rPr>
          <w:sz w:val="22"/>
        </w:rPr>
        <w:t>individual</w:t>
      </w:r>
      <w:r>
        <w:rPr>
          <w:spacing w:val="40"/>
          <w:sz w:val="22"/>
        </w:rPr>
        <w:t> </w:t>
      </w:r>
      <w:r>
        <w:rPr>
          <w:sz w:val="22"/>
        </w:rPr>
        <w:t>commodities</w:t>
      </w:r>
      <w:r>
        <w:rPr>
          <w:spacing w:val="40"/>
          <w:sz w:val="22"/>
        </w:rPr>
        <w:t> </w:t>
      </w:r>
      <w:r>
        <w:rPr>
          <w:sz w:val="22"/>
        </w:rPr>
        <w:t>and</w:t>
      </w:r>
      <w:r>
        <w:rPr>
          <w:spacing w:val="40"/>
          <w:sz w:val="22"/>
        </w:rPr>
        <w:t> </w:t>
      </w:r>
      <w:r>
        <w:rPr>
          <w:sz w:val="22"/>
        </w:rPr>
        <w:t>to</w:t>
      </w:r>
      <w:r>
        <w:rPr>
          <w:spacing w:val="40"/>
          <w:sz w:val="22"/>
        </w:rPr>
        <w:t> </w:t>
      </w:r>
      <w:r>
        <w:rPr>
          <w:sz w:val="22"/>
        </w:rPr>
        <w:t>initiate</w:t>
      </w:r>
      <w:r>
        <w:rPr>
          <w:spacing w:val="40"/>
          <w:sz w:val="22"/>
        </w:rPr>
        <w:t> </w:t>
      </w:r>
      <w:r>
        <w:rPr>
          <w:sz w:val="22"/>
        </w:rPr>
        <w:t>negotiations</w:t>
      </w:r>
      <w:r>
        <w:rPr>
          <w:spacing w:val="40"/>
          <w:sz w:val="22"/>
        </w:rPr>
        <w:t> </w:t>
      </w:r>
      <w:r>
        <w:rPr>
          <w:sz w:val="22"/>
        </w:rPr>
        <w:t>at</w:t>
      </w:r>
      <w:r>
        <w:rPr>
          <w:spacing w:val="40"/>
          <w:sz w:val="22"/>
        </w:rPr>
        <w:t> </w:t>
      </w:r>
      <w:r>
        <w:rPr>
          <w:sz w:val="22"/>
        </w:rPr>
        <w:t>an early date for the conclusion of commodity arrangements in fulfilment of the objectives of the Integrated Programme.</w:t>
      </w:r>
    </w:p>
    <w:sectPr>
      <w:pgSz w:w="12240" w:h="15840"/>
      <w:pgMar w:header="701" w:footer="0" w:top="1260" w:bottom="280" w:left="1720" w:right="1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21.160004pt;margin-top:34.068241pt;width:98.65pt;height:14.5pt;mso-position-horizontal-relative:page;mso-position-vertical-relative:page;z-index:-15761408" type="#_x0000_t202" id="docshape1" filled="false" stroked="false">
          <v:textbox inset="0,0,0,0">
            <w:txbxContent>
              <w:p>
                <w:pPr>
                  <w:pStyle w:val="BodyText"/>
                  <w:spacing w:before="15"/>
                  <w:ind w:left="20"/>
                </w:pPr>
                <w:r>
                  <w:rPr/>
                  <w:t>CM/Res.</w:t>
                </w:r>
                <w:r>
                  <w:rPr>
                    <w:spacing w:val="23"/>
                  </w:rPr>
                  <w:t> </w:t>
                </w:r>
                <w:r>
                  <w:rPr>
                    <w:spacing w:val="-2"/>
                  </w:rPr>
                  <w:t>658(XXXI)</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37"/>
        <w:jc w:val="left"/>
      </w:pPr>
      <w:rPr>
        <w:rFonts w:hint="default" w:ascii="Times New Roman" w:hAnsi="Times New Roman" w:eastAsia="Times New Roman" w:cs="Times New Roman"/>
        <w:b w:val="0"/>
        <w:bCs w:val="0"/>
        <w:i w:val="0"/>
        <w:iCs w:val="0"/>
        <w:spacing w:val="-1"/>
        <w:w w:val="102"/>
        <w:sz w:val="22"/>
        <w:szCs w:val="22"/>
        <w:lang w:val="en-US" w:eastAsia="en-US" w:bidi="ar-SA"/>
      </w:rPr>
    </w:lvl>
    <w:lvl w:ilvl="1">
      <w:start w:val="1"/>
      <w:numFmt w:val="lowerRoman"/>
      <w:lvlText w:val="%2."/>
      <w:lvlJc w:val="left"/>
      <w:pPr>
        <w:ind w:left="1525" w:hanging="341"/>
        <w:jc w:val="left"/>
      </w:pPr>
      <w:rPr>
        <w:rFonts w:hint="default" w:ascii="Times New Roman" w:hAnsi="Times New Roman" w:eastAsia="Times New Roman" w:cs="Times New Roman"/>
        <w:b w:val="0"/>
        <w:bCs w:val="0"/>
        <w:i w:val="0"/>
        <w:iCs w:val="0"/>
        <w:spacing w:val="-3"/>
        <w:w w:val="102"/>
        <w:sz w:val="22"/>
        <w:szCs w:val="22"/>
        <w:lang w:val="en-US" w:eastAsia="en-US" w:bidi="ar-SA"/>
      </w:rPr>
    </w:lvl>
    <w:lvl w:ilvl="2">
      <w:start w:val="0"/>
      <w:numFmt w:val="bullet"/>
      <w:lvlText w:val="•"/>
      <w:lvlJc w:val="left"/>
      <w:pPr>
        <w:ind w:left="2360" w:hanging="341"/>
      </w:pPr>
      <w:rPr>
        <w:rFonts w:hint="default"/>
        <w:lang w:val="en-US" w:eastAsia="en-US" w:bidi="ar-SA"/>
      </w:rPr>
    </w:lvl>
    <w:lvl w:ilvl="3">
      <w:start w:val="0"/>
      <w:numFmt w:val="bullet"/>
      <w:lvlText w:val="•"/>
      <w:lvlJc w:val="left"/>
      <w:pPr>
        <w:ind w:left="3200" w:hanging="341"/>
      </w:pPr>
      <w:rPr>
        <w:rFonts w:hint="default"/>
        <w:lang w:val="en-US" w:eastAsia="en-US" w:bidi="ar-SA"/>
      </w:rPr>
    </w:lvl>
    <w:lvl w:ilvl="4">
      <w:start w:val="0"/>
      <w:numFmt w:val="bullet"/>
      <w:lvlText w:val="•"/>
      <w:lvlJc w:val="left"/>
      <w:pPr>
        <w:ind w:left="4040" w:hanging="341"/>
      </w:pPr>
      <w:rPr>
        <w:rFonts w:hint="default"/>
        <w:lang w:val="en-US" w:eastAsia="en-US" w:bidi="ar-SA"/>
      </w:rPr>
    </w:lvl>
    <w:lvl w:ilvl="5">
      <w:start w:val="0"/>
      <w:numFmt w:val="bullet"/>
      <w:lvlText w:val="•"/>
      <w:lvlJc w:val="left"/>
      <w:pPr>
        <w:ind w:left="4880" w:hanging="341"/>
      </w:pPr>
      <w:rPr>
        <w:rFonts w:hint="default"/>
        <w:lang w:val="en-US" w:eastAsia="en-US" w:bidi="ar-SA"/>
      </w:rPr>
    </w:lvl>
    <w:lvl w:ilvl="6">
      <w:start w:val="0"/>
      <w:numFmt w:val="bullet"/>
      <w:lvlText w:val="•"/>
      <w:lvlJc w:val="left"/>
      <w:pPr>
        <w:ind w:left="5720" w:hanging="341"/>
      </w:pPr>
      <w:rPr>
        <w:rFonts w:hint="default"/>
        <w:lang w:val="en-US" w:eastAsia="en-US" w:bidi="ar-SA"/>
      </w:rPr>
    </w:lvl>
    <w:lvl w:ilvl="7">
      <w:start w:val="0"/>
      <w:numFmt w:val="bullet"/>
      <w:lvlText w:val="•"/>
      <w:lvlJc w:val="left"/>
      <w:pPr>
        <w:ind w:left="6560" w:hanging="341"/>
      </w:pPr>
      <w:rPr>
        <w:rFonts w:hint="default"/>
        <w:lang w:val="en-US" w:eastAsia="en-US" w:bidi="ar-SA"/>
      </w:rPr>
    </w:lvl>
    <w:lvl w:ilvl="8">
      <w:start w:val="0"/>
      <w:numFmt w:val="bullet"/>
      <w:lvlText w:val="•"/>
      <w:lvlJc w:val="left"/>
      <w:pPr>
        <w:ind w:left="7400" w:hanging="34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90"/>
      <w:ind w:left="2285" w:right="2568"/>
      <w:jc w:val="center"/>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183" w:right="427" w:hanging="336"/>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OF THE COUNCIL OF MINISTERS ADOPTED AT ITS THIRTY-FIRST ORDINARY SESSION AND APPROVED BY THE FIFTEENTH ORDINARY SESSION OF THE ASSEMBLY OF HEADS OF STATE AND GOVERNMENT</dc:title>
  <dcterms:created xsi:type="dcterms:W3CDTF">2023-06-07T08:57:28Z</dcterms:created>
  <dcterms:modified xsi:type="dcterms:W3CDTF">2023-06-07T08:57:28Z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2023-03-29T00:00:00Z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