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5"/>
          <w:u w:val="single"/>
        </w:rPr>
        <w:t> </w:t>
      </w:r>
      <w:r>
        <w:rPr>
          <w:u w:val="single"/>
        </w:rPr>
        <w:t>ON</w:t>
      </w:r>
      <w:r>
        <w:rPr>
          <w:spacing w:val="6"/>
          <w:u w:val="single"/>
        </w:rPr>
        <w:t> </w:t>
      </w:r>
      <w:r>
        <w:rPr>
          <w:spacing w:val="-2"/>
          <w:u w:val="single"/>
        </w:rPr>
        <w:t>TECHNICAL</w:t>
      </w:r>
    </w:p>
    <w:p>
      <w:pPr>
        <w:pStyle w:val="Title"/>
        <w:spacing w:before="136"/>
        <w:ind w:right="1880"/>
        <w:rPr>
          <w:u w:val="none"/>
        </w:rPr>
      </w:pPr>
      <w:r>
        <w:rPr>
          <w:u w:val="single"/>
        </w:rPr>
        <w:t>CO-OPERATION</w:t>
      </w:r>
      <w:r>
        <w:rPr>
          <w:spacing w:val="11"/>
          <w:u w:val="single"/>
        </w:rPr>
        <w:t> </w:t>
      </w:r>
      <w:r>
        <w:rPr>
          <w:u w:val="single"/>
        </w:rPr>
        <w:t>AMONG</w:t>
      </w:r>
      <w:r>
        <w:rPr>
          <w:spacing w:val="10"/>
          <w:u w:val="single"/>
        </w:rPr>
        <w:t> </w:t>
      </w:r>
      <w:r>
        <w:rPr>
          <w:u w:val="single"/>
        </w:rPr>
        <w:t>DEVELOPING</w:t>
      </w:r>
      <w:r>
        <w:rPr>
          <w:spacing w:val="10"/>
          <w:u w:val="single"/>
        </w:rPr>
        <w:t> </w:t>
      </w:r>
      <w:r>
        <w:rPr>
          <w:spacing w:val="-2"/>
          <w:u w:val="single"/>
        </w:rPr>
        <w:t>COUNTRIES</w:t>
      </w:r>
    </w:p>
    <w:p>
      <w:pPr>
        <w:pStyle w:val="BodyText"/>
        <w:rPr>
          <w:b/>
          <w:sz w:val="20"/>
        </w:rPr>
      </w:pPr>
    </w:p>
    <w:p>
      <w:pPr>
        <w:pStyle w:val="BodyText"/>
        <w:spacing w:before="5"/>
        <w:rPr>
          <w:b/>
          <w:sz w:val="16"/>
        </w:rPr>
      </w:pPr>
    </w:p>
    <w:p>
      <w:pPr>
        <w:pStyle w:val="BodyText"/>
        <w:spacing w:line="374" w:lineRule="auto" w:before="96"/>
        <w:ind w:left="171" w:firstLine="676"/>
      </w:pPr>
      <w:r>
        <w:rPr/>
        <w:t>The Council of Ministers of the Organization of African Unity, meeting in its Thirty-First Ordinary Session in Khartoum, Democratic Republic of the Sudan,</w:t>
      </w:r>
      <w:r>
        <w:rPr>
          <w:spacing w:val="34"/>
        </w:rPr>
        <w:t> </w:t>
      </w:r>
      <w:r>
        <w:rPr/>
        <w:t>from</w:t>
      </w:r>
      <w:r>
        <w:rPr>
          <w:spacing w:val="26"/>
        </w:rPr>
        <w:t> </w:t>
      </w:r>
      <w:r>
        <w:rPr/>
        <w:t>7</w:t>
      </w:r>
      <w:r>
        <w:rPr>
          <w:spacing w:val="26"/>
        </w:rPr>
        <w:t> </w:t>
      </w:r>
      <w:r>
        <w:rPr/>
        <w:t>to</w:t>
      </w:r>
      <w:r>
        <w:rPr>
          <w:spacing w:val="26"/>
        </w:rPr>
        <w:t> </w:t>
      </w:r>
      <w:r>
        <w:rPr/>
        <w:t>18</w:t>
      </w:r>
      <w:r>
        <w:rPr>
          <w:spacing w:val="26"/>
        </w:rPr>
        <w:t> </w:t>
      </w:r>
      <w:r>
        <w:rPr/>
        <w:t>July</w:t>
      </w:r>
      <w:r>
        <w:rPr>
          <w:spacing w:val="26"/>
        </w:rPr>
        <w:t> </w:t>
      </w:r>
      <w:r>
        <w:rPr/>
        <w:t>1978,</w:t>
      </w:r>
    </w:p>
    <w:p>
      <w:pPr>
        <w:pStyle w:val="BodyText"/>
        <w:spacing w:before="2"/>
        <w:rPr>
          <w:sz w:val="33"/>
        </w:rPr>
      </w:pPr>
    </w:p>
    <w:p>
      <w:pPr>
        <w:pStyle w:val="BodyText"/>
        <w:spacing w:line="369" w:lineRule="auto"/>
        <w:ind w:left="171" w:right="413" w:firstLine="676"/>
      </w:pPr>
      <w:r>
        <w:rPr>
          <w:b/>
          <w:u w:val="single"/>
        </w:rPr>
        <w:t>Recalling</w:t>
      </w:r>
      <w:r>
        <w:rPr>
          <w:b/>
        </w:rPr>
        <w:t> </w:t>
      </w:r>
      <w:r>
        <w:rPr/>
        <w:t>the United Nations General Assembly resolution 3201 (S-VI) and 3202 (S-</w:t>
      </w:r>
      <w:r>
        <w:rPr>
          <w:spacing w:val="40"/>
        </w:rPr>
        <w:t> </w:t>
      </w:r>
      <w:r>
        <w:rPr/>
        <w:t>VI) on the establishment of the New International Economic Order,</w:t>
      </w:r>
    </w:p>
    <w:p>
      <w:pPr>
        <w:pStyle w:val="BodyText"/>
        <w:spacing w:before="8"/>
        <w:rPr>
          <w:sz w:val="33"/>
        </w:rPr>
      </w:pPr>
    </w:p>
    <w:p>
      <w:pPr>
        <w:pStyle w:val="BodyText"/>
        <w:spacing w:line="369" w:lineRule="auto"/>
        <w:ind w:left="171" w:right="413" w:firstLine="676"/>
      </w:pPr>
      <w:r>
        <w:rPr>
          <w:b/>
          <w:u w:val="single"/>
        </w:rPr>
        <w:t>Recalling further</w:t>
      </w:r>
      <w:r>
        <w:rPr>
          <w:b/>
        </w:rPr>
        <w:t> </w:t>
      </w:r>
      <w:r>
        <w:rPr/>
        <w:t>the UN General Assembly resolution 3362 (S-VII) on development and international economic co-operation,</w:t>
      </w:r>
    </w:p>
    <w:p>
      <w:pPr>
        <w:pStyle w:val="BodyText"/>
        <w:spacing w:before="1"/>
        <w:rPr>
          <w:sz w:val="34"/>
        </w:rPr>
      </w:pPr>
    </w:p>
    <w:p>
      <w:pPr>
        <w:pStyle w:val="BodyText"/>
        <w:spacing w:line="369" w:lineRule="auto"/>
        <w:ind w:left="171" w:firstLine="676"/>
      </w:pPr>
      <w:r>
        <w:rPr>
          <w:b/>
          <w:u w:val="single"/>
        </w:rPr>
        <w:t>Affirming</w:t>
      </w:r>
      <w:r>
        <w:rPr>
          <w:b/>
          <w:spacing w:val="40"/>
        </w:rPr>
        <w:t> </w:t>
      </w:r>
      <w:r>
        <w:rPr/>
        <w:t>the</w:t>
      </w:r>
      <w:r>
        <w:rPr>
          <w:spacing w:val="40"/>
        </w:rPr>
        <w:t> </w:t>
      </w:r>
      <w:r>
        <w:rPr/>
        <w:t>UN</w:t>
      </w:r>
      <w:r>
        <w:rPr>
          <w:spacing w:val="40"/>
        </w:rPr>
        <w:t> </w:t>
      </w:r>
      <w:r>
        <w:rPr/>
        <w:t>General</w:t>
      </w:r>
      <w:r>
        <w:rPr>
          <w:spacing w:val="40"/>
        </w:rPr>
        <w:t> </w:t>
      </w:r>
      <w:r>
        <w:rPr/>
        <w:t>Assembly</w:t>
      </w:r>
      <w:r>
        <w:rPr>
          <w:spacing w:val="40"/>
        </w:rPr>
        <w:t> </w:t>
      </w:r>
      <w:r>
        <w:rPr/>
        <w:t>Resolution</w:t>
      </w:r>
      <w:r>
        <w:rPr>
          <w:spacing w:val="40"/>
        </w:rPr>
        <w:t> </w:t>
      </w:r>
      <w:r>
        <w:rPr/>
        <w:t>3281</w:t>
      </w:r>
      <w:r>
        <w:rPr>
          <w:spacing w:val="40"/>
        </w:rPr>
        <w:t> </w:t>
      </w:r>
      <w:r>
        <w:rPr/>
        <w:t>(XXIX)</w:t>
      </w:r>
      <w:r>
        <w:rPr>
          <w:spacing w:val="40"/>
        </w:rPr>
        <w:t> </w:t>
      </w:r>
      <w:r>
        <w:rPr/>
        <w:t>on</w:t>
      </w:r>
      <w:r>
        <w:rPr>
          <w:spacing w:val="40"/>
        </w:rPr>
        <w:t> </w:t>
      </w:r>
      <w:r>
        <w:rPr/>
        <w:t>the</w:t>
      </w:r>
      <w:r>
        <w:rPr>
          <w:spacing w:val="40"/>
        </w:rPr>
        <w:t> </w:t>
      </w:r>
      <w:r>
        <w:rPr/>
        <w:t>Charter</w:t>
      </w:r>
      <w:r>
        <w:rPr>
          <w:spacing w:val="40"/>
        </w:rPr>
        <w:t> </w:t>
      </w:r>
      <w:r>
        <w:rPr/>
        <w:t>of Economic Rights and duties of States,</w:t>
      </w:r>
    </w:p>
    <w:p>
      <w:pPr>
        <w:pStyle w:val="BodyText"/>
        <w:spacing w:before="3"/>
        <w:rPr>
          <w:sz w:val="33"/>
        </w:rPr>
      </w:pPr>
    </w:p>
    <w:p>
      <w:pPr>
        <w:pStyle w:val="BodyText"/>
        <w:spacing w:line="369" w:lineRule="auto"/>
        <w:ind w:left="171" w:right="421" w:firstLine="676"/>
        <w:jc w:val="both"/>
      </w:pPr>
      <w:r>
        <w:rPr>
          <w:b/>
          <w:u w:val="single"/>
        </w:rPr>
        <w:t>Recognizing</w:t>
      </w:r>
      <w:r>
        <w:rPr>
          <w:b/>
        </w:rPr>
        <w:t> </w:t>
      </w:r>
      <w:r>
        <w:rPr/>
        <w:t>that the basic objective of technical co-operation among developing countries being the furthering of the national and collective self-reliance of developing</w:t>
      </w:r>
      <w:r>
        <w:rPr>
          <w:spacing w:val="40"/>
        </w:rPr>
        <w:t> </w:t>
      </w:r>
      <w:r>
        <w:rPr/>
        <w:t>countries and the enhancement of their creative capacity to solve their development problems</w:t>
      </w:r>
      <w:r>
        <w:rPr>
          <w:spacing w:val="80"/>
        </w:rPr>
        <w:t> </w:t>
      </w:r>
      <w:r>
        <w:rPr/>
        <w:t>as supported by the Fifth conference of Heads of State and government of Non-Aligned Countries held at Colombo (16 – 19 August 1976),</w:t>
      </w:r>
    </w:p>
    <w:p>
      <w:pPr>
        <w:pStyle w:val="BodyText"/>
        <w:spacing w:before="10"/>
        <w:rPr>
          <w:sz w:val="33"/>
        </w:rPr>
      </w:pPr>
    </w:p>
    <w:p>
      <w:pPr>
        <w:pStyle w:val="BodyText"/>
        <w:spacing w:line="369" w:lineRule="auto"/>
        <w:ind w:left="171" w:right="445" w:firstLine="676"/>
        <w:jc w:val="both"/>
      </w:pPr>
      <w:r>
        <w:rPr>
          <w:b/>
          <w:u w:val="single"/>
        </w:rPr>
        <w:t>Endorsing</w:t>
      </w:r>
      <w:r>
        <w:rPr>
          <w:b/>
          <w:spacing w:val="40"/>
          <w:u w:val="single"/>
        </w:rPr>
        <w:t> </w:t>
      </w:r>
      <w:r>
        <w:rPr/>
        <w:t>the Kuwait Declaration adopted on June 5, 1977 which defined technical</w:t>
      </w:r>
      <w:r>
        <w:rPr>
          <w:spacing w:val="40"/>
        </w:rPr>
        <w:t> </w:t>
      </w:r>
      <w:r>
        <w:rPr/>
        <w:t>co-operation among developing countries as “historical imperative brought about by the need for a new international economic order”.</w:t>
      </w:r>
    </w:p>
    <w:p>
      <w:pPr>
        <w:pStyle w:val="BodyText"/>
        <w:spacing w:before="1"/>
        <w:rPr>
          <w:sz w:val="34"/>
        </w:rPr>
      </w:pPr>
    </w:p>
    <w:p>
      <w:pPr>
        <w:pStyle w:val="BodyText"/>
        <w:spacing w:line="367" w:lineRule="auto"/>
        <w:ind w:left="171" w:right="426" w:firstLine="676"/>
        <w:jc w:val="both"/>
      </w:pPr>
      <w:r>
        <w:rPr>
          <w:b/>
          <w:u w:val="single"/>
        </w:rPr>
        <w:t>Reaffirming</w:t>
      </w:r>
      <w:r>
        <w:rPr>
          <w:b/>
        </w:rPr>
        <w:t> </w:t>
      </w:r>
      <w:r>
        <w:rPr/>
        <w:t>Resolution CM/560 (XXIX) of the Council of Ministers of the Organization of African Unity at its Twenty-Ninth Ordinary Session and endorsed by the Assembly of Heads of State and Government of the Organization of African Unity at its Fourteenth Ordinary Session (Libreville, 23 June</w:t>
      </w:r>
      <w:r>
        <w:rPr>
          <w:spacing w:val="40"/>
        </w:rPr>
        <w:t> </w:t>
      </w:r>
      <w:r>
        <w:rPr/>
        <w:t>– 5 July 1977) which recognized technical</w:t>
      </w:r>
      <w:r>
        <w:rPr>
          <w:spacing w:val="80"/>
        </w:rPr>
        <w:t> </w:t>
      </w:r>
      <w:r>
        <w:rPr/>
        <w:t>co-operation, between developing countries as “a conscious, systematic and politically motivated</w:t>
      </w:r>
      <w:r>
        <w:rPr>
          <w:spacing w:val="40"/>
        </w:rPr>
        <w:t> </w:t>
      </w:r>
      <w:r>
        <w:rPr/>
        <w:t>process</w:t>
      </w:r>
      <w:r>
        <w:rPr>
          <w:spacing w:val="40"/>
        </w:rPr>
        <w:t> </w:t>
      </w:r>
      <w:r>
        <w:rPr/>
        <w:t>aimed</w:t>
      </w:r>
      <w:r>
        <w:rPr>
          <w:spacing w:val="40"/>
        </w:rPr>
        <w:t> </w:t>
      </w:r>
      <w:r>
        <w:rPr/>
        <w:t>at</w:t>
      </w:r>
      <w:r>
        <w:rPr>
          <w:spacing w:val="40"/>
        </w:rPr>
        <w:t> </w:t>
      </w:r>
      <w:r>
        <w:rPr/>
        <w:t>strengthening</w:t>
      </w:r>
      <w:r>
        <w:rPr>
          <w:spacing w:val="40"/>
        </w:rPr>
        <w:t> </w:t>
      </w:r>
      <w:r>
        <w:rPr/>
        <w:t>the</w:t>
      </w:r>
      <w:r>
        <w:rPr>
          <w:spacing w:val="40"/>
        </w:rPr>
        <w:t> </w:t>
      </w:r>
      <w:r>
        <w:rPr/>
        <w:t>framework</w:t>
      </w:r>
      <w:r>
        <w:rPr>
          <w:spacing w:val="40"/>
        </w:rPr>
        <w:t> </w:t>
      </w:r>
      <w:r>
        <w:rPr/>
        <w:t>of</w:t>
      </w:r>
      <w:r>
        <w:rPr>
          <w:spacing w:val="40"/>
        </w:rPr>
        <w:t> </w:t>
      </w:r>
      <w:r>
        <w:rPr/>
        <w:t>multiple</w:t>
      </w:r>
      <w:r>
        <w:rPr>
          <w:spacing w:val="40"/>
        </w:rPr>
        <w:t> </w:t>
      </w:r>
      <w:r>
        <w:rPr/>
        <w:t>links</w:t>
      </w:r>
      <w:r>
        <w:rPr>
          <w:spacing w:val="40"/>
        </w:rPr>
        <w:t> </w:t>
      </w:r>
      <w:r>
        <w:rPr/>
        <w:t>between developing countries”,</w:t>
      </w:r>
    </w:p>
    <w:p>
      <w:pPr>
        <w:spacing w:after="0" w:line="367" w:lineRule="auto"/>
        <w:jc w:val="both"/>
        <w:sectPr>
          <w:headerReference w:type="default" r:id="rId5"/>
          <w:type w:val="continuous"/>
          <w:pgSz w:w="12240" w:h="15840"/>
          <w:pgMar w:header="701" w:footer="0" w:top="1260" w:bottom="280" w:left="1720" w:right="1440"/>
          <w:pgNumType w:start="1"/>
        </w:sectPr>
      </w:pPr>
    </w:p>
    <w:p>
      <w:pPr>
        <w:pStyle w:val="BodyText"/>
        <w:spacing w:line="369" w:lineRule="auto" w:before="85"/>
        <w:ind w:left="171" w:right="424" w:firstLine="676"/>
        <w:jc w:val="both"/>
      </w:pPr>
      <w:r>
        <w:rPr>
          <w:b/>
          <w:u w:val="single"/>
        </w:rPr>
        <w:t>Referring</w:t>
      </w:r>
      <w:r>
        <w:rPr>
          <w:b/>
        </w:rPr>
        <w:t> </w:t>
      </w:r>
      <w:r>
        <w:rPr/>
        <w:t>to the UN General Assembly’s recent resolution (32/183) calling for the convening of a United Nations Conference on Technical Co-operation Among Developing Countries (TCDC) from August 28 to September 12, 1978:</w:t>
      </w:r>
    </w:p>
    <w:p>
      <w:pPr>
        <w:pStyle w:val="BodyText"/>
        <w:spacing w:before="7"/>
        <w:rPr>
          <w:sz w:val="33"/>
        </w:rPr>
      </w:pPr>
    </w:p>
    <w:p>
      <w:pPr>
        <w:pStyle w:val="ListParagraph"/>
        <w:numPr>
          <w:ilvl w:val="0"/>
          <w:numId w:val="1"/>
        </w:numPr>
        <w:tabs>
          <w:tab w:pos="1185" w:val="left" w:leader="none"/>
        </w:tabs>
        <w:spacing w:line="369" w:lineRule="auto" w:before="0" w:after="0"/>
        <w:ind w:left="1184" w:right="421" w:hanging="336"/>
        <w:jc w:val="both"/>
        <w:rPr>
          <w:sz w:val="22"/>
        </w:rPr>
      </w:pPr>
      <w:r>
        <w:rPr>
          <w:b/>
          <w:sz w:val="22"/>
        </w:rPr>
        <w:t>NOTING</w:t>
      </w:r>
      <w:r>
        <w:rPr>
          <w:b/>
          <w:spacing w:val="40"/>
          <w:sz w:val="22"/>
        </w:rPr>
        <w:t> </w:t>
      </w:r>
      <w:r>
        <w:rPr>
          <w:sz w:val="22"/>
        </w:rPr>
        <w:t>that</w:t>
      </w:r>
      <w:r>
        <w:rPr>
          <w:spacing w:val="36"/>
          <w:sz w:val="22"/>
        </w:rPr>
        <w:t> </w:t>
      </w:r>
      <w:r>
        <w:rPr>
          <w:sz w:val="22"/>
        </w:rPr>
        <w:t>the</w:t>
      </w:r>
      <w:r>
        <w:rPr>
          <w:spacing w:val="36"/>
          <w:sz w:val="22"/>
        </w:rPr>
        <w:t> </w:t>
      </w:r>
      <w:r>
        <w:rPr>
          <w:sz w:val="22"/>
        </w:rPr>
        <w:t>UNDP</w:t>
      </w:r>
      <w:r>
        <w:rPr>
          <w:spacing w:val="36"/>
          <w:sz w:val="22"/>
        </w:rPr>
        <w:t> </w:t>
      </w:r>
      <w:r>
        <w:rPr>
          <w:sz w:val="22"/>
        </w:rPr>
        <w:t>is</w:t>
      </w:r>
      <w:r>
        <w:rPr>
          <w:spacing w:val="36"/>
          <w:sz w:val="22"/>
        </w:rPr>
        <w:t> </w:t>
      </w:r>
      <w:r>
        <w:rPr>
          <w:sz w:val="22"/>
        </w:rPr>
        <w:t>ready</w:t>
      </w:r>
      <w:r>
        <w:rPr>
          <w:spacing w:val="36"/>
          <w:sz w:val="22"/>
        </w:rPr>
        <w:t> </w:t>
      </w:r>
      <w:r>
        <w:rPr>
          <w:sz w:val="22"/>
        </w:rPr>
        <w:t>to</w:t>
      </w:r>
      <w:r>
        <w:rPr>
          <w:spacing w:val="36"/>
          <w:sz w:val="22"/>
        </w:rPr>
        <w:t> </w:t>
      </w:r>
      <w:r>
        <w:rPr>
          <w:sz w:val="22"/>
        </w:rPr>
        <w:t>fund</w:t>
      </w:r>
      <w:r>
        <w:rPr>
          <w:spacing w:val="37"/>
          <w:sz w:val="22"/>
        </w:rPr>
        <w:t> </w:t>
      </w:r>
      <w:r>
        <w:rPr>
          <w:sz w:val="22"/>
        </w:rPr>
        <w:t>an</w:t>
      </w:r>
      <w:r>
        <w:rPr>
          <w:spacing w:val="37"/>
          <w:sz w:val="22"/>
        </w:rPr>
        <w:t> </w:t>
      </w:r>
      <w:r>
        <w:rPr>
          <w:sz w:val="22"/>
        </w:rPr>
        <w:t>OAU</w:t>
      </w:r>
      <w:r>
        <w:rPr>
          <w:spacing w:val="36"/>
          <w:sz w:val="22"/>
        </w:rPr>
        <w:t> </w:t>
      </w:r>
      <w:r>
        <w:rPr>
          <w:sz w:val="22"/>
        </w:rPr>
        <w:t>preparatory</w:t>
      </w:r>
      <w:r>
        <w:rPr>
          <w:spacing w:val="36"/>
          <w:sz w:val="22"/>
        </w:rPr>
        <w:t> </w:t>
      </w:r>
      <w:r>
        <w:rPr>
          <w:sz w:val="22"/>
        </w:rPr>
        <w:t>meeting</w:t>
      </w:r>
      <w:r>
        <w:rPr>
          <w:spacing w:val="36"/>
          <w:sz w:val="22"/>
        </w:rPr>
        <w:t> </w:t>
      </w:r>
      <w:r>
        <w:rPr>
          <w:sz w:val="22"/>
        </w:rPr>
        <w:t>for</w:t>
      </w:r>
      <w:r>
        <w:rPr>
          <w:spacing w:val="36"/>
          <w:sz w:val="22"/>
        </w:rPr>
        <w:t> </w:t>
      </w:r>
      <w:r>
        <w:rPr>
          <w:sz w:val="22"/>
        </w:rPr>
        <w:t>the UN</w:t>
      </w:r>
      <w:r>
        <w:rPr>
          <w:spacing w:val="40"/>
          <w:sz w:val="22"/>
        </w:rPr>
        <w:t> </w:t>
      </w:r>
      <w:r>
        <w:rPr>
          <w:sz w:val="22"/>
        </w:rPr>
        <w:t>Conference</w:t>
      </w:r>
      <w:r>
        <w:rPr>
          <w:spacing w:val="40"/>
          <w:sz w:val="22"/>
        </w:rPr>
        <w:t> </w:t>
      </w:r>
      <w:r>
        <w:rPr>
          <w:sz w:val="22"/>
        </w:rPr>
        <w:t>on</w:t>
      </w:r>
      <w:r>
        <w:rPr>
          <w:spacing w:val="40"/>
          <w:sz w:val="22"/>
        </w:rPr>
        <w:t> </w:t>
      </w:r>
      <w:r>
        <w:rPr>
          <w:sz w:val="22"/>
        </w:rPr>
        <w:t>Technical</w:t>
      </w:r>
      <w:r>
        <w:rPr>
          <w:spacing w:val="40"/>
          <w:sz w:val="22"/>
        </w:rPr>
        <w:t> </w:t>
      </w:r>
      <w:r>
        <w:rPr>
          <w:sz w:val="22"/>
        </w:rPr>
        <w:t>Co-operation</w:t>
      </w:r>
      <w:r>
        <w:rPr>
          <w:spacing w:val="40"/>
          <w:sz w:val="22"/>
        </w:rPr>
        <w:t> </w:t>
      </w:r>
      <w:r>
        <w:rPr>
          <w:sz w:val="22"/>
        </w:rPr>
        <w:t>Among</w:t>
      </w:r>
      <w:r>
        <w:rPr>
          <w:spacing w:val="40"/>
          <w:sz w:val="22"/>
        </w:rPr>
        <w:t> </w:t>
      </w:r>
      <w:r>
        <w:rPr>
          <w:sz w:val="22"/>
        </w:rPr>
        <w:t>Developing</w:t>
      </w:r>
      <w:r>
        <w:rPr>
          <w:spacing w:val="40"/>
          <w:sz w:val="22"/>
        </w:rPr>
        <w:t> </w:t>
      </w:r>
      <w:r>
        <w:rPr>
          <w:sz w:val="22"/>
        </w:rPr>
        <w:t>Countries (TCDC), due to be held in Buenos Aires, Argentina, from August 30 to September 12,</w:t>
      </w:r>
      <w:r>
        <w:rPr>
          <w:spacing w:val="40"/>
          <w:sz w:val="22"/>
        </w:rPr>
        <w:t> </w:t>
      </w:r>
      <w:r>
        <w:rPr>
          <w:sz w:val="22"/>
        </w:rPr>
        <w:t>1978,</w:t>
      </w:r>
      <w:r>
        <w:rPr>
          <w:spacing w:val="40"/>
          <w:sz w:val="22"/>
        </w:rPr>
        <w:t> </w:t>
      </w:r>
      <w:r>
        <w:rPr>
          <w:sz w:val="22"/>
        </w:rPr>
        <w:t>as</w:t>
      </w:r>
      <w:r>
        <w:rPr>
          <w:spacing w:val="40"/>
          <w:sz w:val="22"/>
        </w:rPr>
        <w:t> </w:t>
      </w:r>
      <w:r>
        <w:rPr>
          <w:sz w:val="22"/>
        </w:rPr>
        <w:t>well</w:t>
      </w:r>
      <w:r>
        <w:rPr>
          <w:spacing w:val="40"/>
          <w:sz w:val="22"/>
        </w:rPr>
        <w:t> </w:t>
      </w:r>
      <w:r>
        <w:rPr>
          <w:sz w:val="22"/>
        </w:rPr>
        <w:t>as</w:t>
      </w:r>
      <w:r>
        <w:rPr>
          <w:spacing w:val="40"/>
          <w:sz w:val="22"/>
        </w:rPr>
        <w:t> </w:t>
      </w:r>
      <w:r>
        <w:rPr>
          <w:sz w:val="22"/>
        </w:rPr>
        <w:t>render</w:t>
      </w:r>
      <w:r>
        <w:rPr>
          <w:spacing w:val="40"/>
          <w:sz w:val="22"/>
        </w:rPr>
        <w:t> </w:t>
      </w:r>
      <w:r>
        <w:rPr>
          <w:sz w:val="22"/>
        </w:rPr>
        <w:t>financial</w:t>
      </w:r>
      <w:r>
        <w:rPr>
          <w:spacing w:val="40"/>
          <w:sz w:val="22"/>
        </w:rPr>
        <w:t> </w:t>
      </w:r>
      <w:r>
        <w:rPr>
          <w:sz w:val="22"/>
        </w:rPr>
        <w:t>assistance</w:t>
      </w:r>
      <w:r>
        <w:rPr>
          <w:spacing w:val="40"/>
          <w:sz w:val="22"/>
        </w:rPr>
        <w:t> </w:t>
      </w:r>
      <w:r>
        <w:rPr>
          <w:sz w:val="22"/>
        </w:rPr>
        <w:t>to</w:t>
      </w:r>
      <w:r>
        <w:rPr>
          <w:spacing w:val="40"/>
          <w:sz w:val="22"/>
        </w:rPr>
        <w:t> </w:t>
      </w:r>
      <w:r>
        <w:rPr>
          <w:sz w:val="22"/>
        </w:rPr>
        <w:t>those</w:t>
      </w:r>
      <w:r>
        <w:rPr>
          <w:spacing w:val="40"/>
          <w:sz w:val="22"/>
        </w:rPr>
        <w:t> </w:t>
      </w:r>
      <w:r>
        <w:rPr>
          <w:sz w:val="22"/>
        </w:rPr>
        <w:t>OAU</w:t>
      </w:r>
      <w:r>
        <w:rPr>
          <w:spacing w:val="40"/>
          <w:sz w:val="22"/>
        </w:rPr>
        <w:t> </w:t>
      </w:r>
      <w:r>
        <w:rPr>
          <w:sz w:val="22"/>
        </w:rPr>
        <w:t>Member</w:t>
      </w:r>
      <w:r>
        <w:rPr>
          <w:spacing w:val="40"/>
          <w:sz w:val="22"/>
        </w:rPr>
        <w:t> </w:t>
      </w:r>
      <w:r>
        <w:rPr>
          <w:sz w:val="22"/>
        </w:rPr>
        <w:t>States which need such assistance, in order to be able to participate effectively in the </w:t>
      </w:r>
      <w:r>
        <w:rPr>
          <w:spacing w:val="-2"/>
          <w:sz w:val="22"/>
        </w:rPr>
        <w:t>Conference;</w:t>
      </w:r>
    </w:p>
    <w:p>
      <w:pPr>
        <w:pStyle w:val="BodyText"/>
        <w:spacing w:before="5"/>
        <w:rPr>
          <w:sz w:val="33"/>
        </w:rPr>
      </w:pPr>
    </w:p>
    <w:p>
      <w:pPr>
        <w:pStyle w:val="ListParagraph"/>
        <w:numPr>
          <w:ilvl w:val="0"/>
          <w:numId w:val="1"/>
        </w:numPr>
        <w:tabs>
          <w:tab w:pos="1185" w:val="left" w:leader="none"/>
        </w:tabs>
        <w:spacing w:line="374" w:lineRule="auto" w:before="0" w:after="0"/>
        <w:ind w:left="1184" w:right="424" w:hanging="336"/>
        <w:jc w:val="both"/>
        <w:rPr>
          <w:sz w:val="22"/>
        </w:rPr>
      </w:pPr>
      <w:r>
        <w:rPr>
          <w:b/>
          <w:sz w:val="22"/>
        </w:rPr>
        <w:t>CALLS</w:t>
      </w:r>
      <w:r>
        <w:rPr>
          <w:b/>
          <w:spacing w:val="40"/>
          <w:sz w:val="22"/>
        </w:rPr>
        <w:t> </w:t>
      </w:r>
      <w:r>
        <w:rPr>
          <w:b/>
          <w:sz w:val="22"/>
        </w:rPr>
        <w:t>ON</w:t>
      </w:r>
      <w:r>
        <w:rPr>
          <w:b/>
          <w:spacing w:val="40"/>
          <w:sz w:val="22"/>
        </w:rPr>
        <w:t> </w:t>
      </w:r>
      <w:r>
        <w:rPr>
          <w:sz w:val="22"/>
        </w:rPr>
        <w:t>the</w:t>
      </w:r>
      <w:r>
        <w:rPr>
          <w:spacing w:val="40"/>
          <w:sz w:val="22"/>
        </w:rPr>
        <w:t> </w:t>
      </w:r>
      <w:r>
        <w:rPr>
          <w:sz w:val="22"/>
        </w:rPr>
        <w:t>OAU</w:t>
      </w:r>
      <w:r>
        <w:rPr>
          <w:spacing w:val="40"/>
          <w:sz w:val="22"/>
        </w:rPr>
        <w:t> </w:t>
      </w:r>
      <w:r>
        <w:rPr>
          <w:sz w:val="22"/>
        </w:rPr>
        <w:t>Administrative</w:t>
      </w:r>
      <w:r>
        <w:rPr>
          <w:spacing w:val="40"/>
          <w:sz w:val="22"/>
        </w:rPr>
        <w:t> </w:t>
      </w:r>
      <w:r>
        <w:rPr>
          <w:sz w:val="22"/>
        </w:rPr>
        <w:t>Secretary-General</w:t>
      </w:r>
      <w:r>
        <w:rPr>
          <w:spacing w:val="40"/>
          <w:sz w:val="22"/>
        </w:rPr>
        <w:t> </w:t>
      </w:r>
      <w:r>
        <w:rPr>
          <w:sz w:val="22"/>
        </w:rPr>
        <w:t>to</w:t>
      </w:r>
      <w:r>
        <w:rPr>
          <w:spacing w:val="40"/>
          <w:sz w:val="22"/>
        </w:rPr>
        <w:t> </w:t>
      </w:r>
      <w:r>
        <w:rPr>
          <w:sz w:val="22"/>
        </w:rPr>
        <w:t>convene</w:t>
      </w:r>
      <w:r>
        <w:rPr>
          <w:spacing w:val="40"/>
          <w:sz w:val="22"/>
        </w:rPr>
        <w:t> </w:t>
      </w:r>
      <w:r>
        <w:rPr>
          <w:sz w:val="22"/>
        </w:rPr>
        <w:t>the preparatory meeting as soon as possible;</w:t>
      </w:r>
    </w:p>
    <w:p>
      <w:pPr>
        <w:pStyle w:val="BodyText"/>
        <w:spacing w:before="9"/>
        <w:rPr>
          <w:sz w:val="32"/>
        </w:rPr>
      </w:pPr>
    </w:p>
    <w:p>
      <w:pPr>
        <w:pStyle w:val="ListParagraph"/>
        <w:numPr>
          <w:ilvl w:val="0"/>
          <w:numId w:val="1"/>
        </w:numPr>
        <w:tabs>
          <w:tab w:pos="1185" w:val="left" w:leader="none"/>
        </w:tabs>
        <w:spacing w:line="369" w:lineRule="auto" w:before="0" w:after="0"/>
        <w:ind w:left="1184" w:right="424" w:hanging="336"/>
        <w:jc w:val="both"/>
        <w:rPr>
          <w:sz w:val="22"/>
        </w:rPr>
      </w:pPr>
      <w:r>
        <w:rPr>
          <w:b/>
          <w:sz w:val="22"/>
        </w:rPr>
        <w:t>URGES</w:t>
      </w:r>
      <w:r>
        <w:rPr>
          <w:b/>
          <w:spacing w:val="40"/>
          <w:sz w:val="22"/>
        </w:rPr>
        <w:t> </w:t>
      </w:r>
      <w:r>
        <w:rPr>
          <w:sz w:val="22"/>
        </w:rPr>
        <w:t>Member states of the Organization of African Unity to make sure that</w:t>
      </w:r>
      <w:r>
        <w:rPr>
          <w:spacing w:val="40"/>
          <w:sz w:val="22"/>
        </w:rPr>
        <w:t> </w:t>
      </w:r>
      <w:r>
        <w:rPr>
          <w:spacing w:val="-2"/>
          <w:sz w:val="22"/>
        </w:rPr>
        <w:t>they:</w:t>
      </w:r>
    </w:p>
    <w:p>
      <w:pPr>
        <w:pStyle w:val="BodyText"/>
        <w:spacing w:before="1"/>
        <w:rPr>
          <w:sz w:val="34"/>
        </w:rPr>
      </w:pPr>
    </w:p>
    <w:p>
      <w:pPr>
        <w:pStyle w:val="ListParagraph"/>
        <w:numPr>
          <w:ilvl w:val="1"/>
          <w:numId w:val="1"/>
        </w:numPr>
        <w:tabs>
          <w:tab w:pos="1525" w:val="left" w:leader="none"/>
        </w:tabs>
        <w:spacing w:line="369" w:lineRule="auto" w:before="0" w:after="0"/>
        <w:ind w:left="1524" w:right="442" w:hanging="341"/>
        <w:jc w:val="both"/>
        <w:rPr>
          <w:sz w:val="22"/>
        </w:rPr>
      </w:pPr>
      <w:r>
        <w:rPr>
          <w:sz w:val="22"/>
        </w:rPr>
        <w:t>are</w:t>
      </w:r>
      <w:r>
        <w:rPr>
          <w:spacing w:val="25"/>
          <w:sz w:val="22"/>
        </w:rPr>
        <w:t> </w:t>
      </w:r>
      <w:r>
        <w:rPr>
          <w:sz w:val="22"/>
        </w:rPr>
        <w:t>represented</w:t>
      </w:r>
      <w:r>
        <w:rPr>
          <w:spacing w:val="26"/>
          <w:sz w:val="22"/>
        </w:rPr>
        <w:t> </w:t>
      </w:r>
      <w:r>
        <w:rPr>
          <w:sz w:val="22"/>
        </w:rPr>
        <w:t>at</w:t>
      </w:r>
      <w:r>
        <w:rPr>
          <w:spacing w:val="25"/>
          <w:sz w:val="22"/>
        </w:rPr>
        <w:t> </w:t>
      </w:r>
      <w:r>
        <w:rPr>
          <w:sz w:val="22"/>
        </w:rPr>
        <w:t>both</w:t>
      </w:r>
      <w:r>
        <w:rPr>
          <w:spacing w:val="26"/>
          <w:sz w:val="22"/>
        </w:rPr>
        <w:t> </w:t>
      </w:r>
      <w:r>
        <w:rPr>
          <w:sz w:val="22"/>
        </w:rPr>
        <w:t>the</w:t>
      </w:r>
      <w:r>
        <w:rPr>
          <w:spacing w:val="25"/>
          <w:sz w:val="22"/>
        </w:rPr>
        <w:t> </w:t>
      </w:r>
      <w:r>
        <w:rPr>
          <w:sz w:val="22"/>
        </w:rPr>
        <w:t>preparatory</w:t>
      </w:r>
      <w:r>
        <w:rPr>
          <w:spacing w:val="25"/>
          <w:sz w:val="22"/>
        </w:rPr>
        <w:t> </w:t>
      </w:r>
      <w:r>
        <w:rPr>
          <w:sz w:val="22"/>
        </w:rPr>
        <w:t>meeting</w:t>
      </w:r>
      <w:r>
        <w:rPr>
          <w:spacing w:val="25"/>
          <w:sz w:val="22"/>
        </w:rPr>
        <w:t> </w:t>
      </w:r>
      <w:r>
        <w:rPr>
          <w:sz w:val="22"/>
        </w:rPr>
        <w:t>and</w:t>
      </w:r>
      <w:r>
        <w:rPr>
          <w:spacing w:val="26"/>
          <w:sz w:val="22"/>
        </w:rPr>
        <w:t> </w:t>
      </w:r>
      <w:r>
        <w:rPr>
          <w:sz w:val="22"/>
        </w:rPr>
        <w:t>the</w:t>
      </w:r>
      <w:r>
        <w:rPr>
          <w:spacing w:val="25"/>
          <w:sz w:val="22"/>
        </w:rPr>
        <w:t> </w:t>
      </w:r>
      <w:r>
        <w:rPr>
          <w:sz w:val="22"/>
        </w:rPr>
        <w:t>conference</w:t>
      </w:r>
      <w:r>
        <w:rPr>
          <w:spacing w:val="25"/>
          <w:sz w:val="22"/>
        </w:rPr>
        <w:t> </w:t>
      </w:r>
      <w:r>
        <w:rPr>
          <w:sz w:val="22"/>
        </w:rPr>
        <w:t>on</w:t>
      </w:r>
      <w:r>
        <w:rPr>
          <w:spacing w:val="26"/>
          <w:sz w:val="22"/>
        </w:rPr>
        <w:t> </w:t>
      </w:r>
      <w:r>
        <w:rPr>
          <w:sz w:val="22"/>
        </w:rPr>
        <w:t>TCDC at Ministerial level, most appropriately by Ministers of Planning; and</w:t>
      </w:r>
    </w:p>
    <w:p>
      <w:pPr>
        <w:pStyle w:val="BodyText"/>
        <w:spacing w:before="8"/>
        <w:rPr>
          <w:sz w:val="33"/>
        </w:rPr>
      </w:pPr>
    </w:p>
    <w:p>
      <w:pPr>
        <w:pStyle w:val="ListParagraph"/>
        <w:numPr>
          <w:ilvl w:val="1"/>
          <w:numId w:val="1"/>
        </w:numPr>
        <w:tabs>
          <w:tab w:pos="1525" w:val="left" w:leader="none"/>
        </w:tabs>
        <w:spacing w:line="369" w:lineRule="auto" w:before="0" w:after="0"/>
        <w:ind w:left="1524" w:right="422" w:hanging="341"/>
        <w:jc w:val="both"/>
        <w:rPr>
          <w:sz w:val="22"/>
        </w:rPr>
      </w:pPr>
      <w:r>
        <w:rPr>
          <w:sz w:val="22"/>
        </w:rPr>
        <w:t>support the concept of TCD in the broader context of the New International Economic Order to achieve objectives including the following ;</w:t>
      </w:r>
    </w:p>
    <w:p>
      <w:pPr>
        <w:pStyle w:val="BodyText"/>
        <w:spacing w:before="7"/>
        <w:rPr>
          <w:sz w:val="33"/>
        </w:rPr>
      </w:pPr>
    </w:p>
    <w:p>
      <w:pPr>
        <w:pStyle w:val="ListParagraph"/>
        <w:numPr>
          <w:ilvl w:val="0"/>
          <w:numId w:val="2"/>
        </w:numPr>
        <w:tabs>
          <w:tab w:pos="1525" w:val="left" w:leader="none"/>
        </w:tabs>
        <w:spacing w:line="374" w:lineRule="auto" w:before="1" w:after="0"/>
        <w:ind w:left="1524" w:right="427" w:hanging="341"/>
        <w:jc w:val="both"/>
        <w:rPr>
          <w:sz w:val="22"/>
        </w:rPr>
      </w:pPr>
      <w:r>
        <w:rPr>
          <w:sz w:val="22"/>
        </w:rPr>
        <w:t>to foster the self-reliance of developing countries through to enhancement of their creative capacity to find solutions to their development problems;</w:t>
      </w:r>
    </w:p>
    <w:p>
      <w:pPr>
        <w:pStyle w:val="BodyText"/>
        <w:spacing w:before="9"/>
        <w:rPr>
          <w:sz w:val="32"/>
        </w:rPr>
      </w:pPr>
    </w:p>
    <w:p>
      <w:pPr>
        <w:pStyle w:val="ListParagraph"/>
        <w:numPr>
          <w:ilvl w:val="0"/>
          <w:numId w:val="2"/>
        </w:numPr>
        <w:tabs>
          <w:tab w:pos="1525" w:val="left" w:leader="none"/>
        </w:tabs>
        <w:spacing w:line="372" w:lineRule="auto" w:before="0" w:after="0"/>
        <w:ind w:left="1524" w:right="424" w:hanging="341"/>
        <w:jc w:val="both"/>
        <w:rPr>
          <w:sz w:val="22"/>
        </w:rPr>
      </w:pPr>
      <w:r>
        <w:rPr>
          <w:sz w:val="22"/>
        </w:rPr>
        <w:t>to</w:t>
      </w:r>
      <w:r>
        <w:rPr>
          <w:spacing w:val="40"/>
          <w:sz w:val="22"/>
        </w:rPr>
        <w:t> </w:t>
      </w:r>
      <w:r>
        <w:rPr>
          <w:sz w:val="22"/>
        </w:rPr>
        <w:t>promote</w:t>
      </w:r>
      <w:r>
        <w:rPr>
          <w:spacing w:val="40"/>
          <w:sz w:val="22"/>
        </w:rPr>
        <w:t> </w:t>
      </w:r>
      <w:r>
        <w:rPr>
          <w:sz w:val="22"/>
        </w:rPr>
        <w:t>and</w:t>
      </w:r>
      <w:r>
        <w:rPr>
          <w:spacing w:val="40"/>
          <w:sz w:val="22"/>
        </w:rPr>
        <w:t> </w:t>
      </w:r>
      <w:r>
        <w:rPr>
          <w:sz w:val="22"/>
        </w:rPr>
        <w:t>strengthen</w:t>
      </w:r>
      <w:r>
        <w:rPr>
          <w:spacing w:val="40"/>
          <w:sz w:val="22"/>
        </w:rPr>
        <w:t> </w:t>
      </w:r>
      <w:r>
        <w:rPr>
          <w:sz w:val="22"/>
        </w:rPr>
        <w:t>collective</w:t>
      </w:r>
      <w:r>
        <w:rPr>
          <w:spacing w:val="40"/>
          <w:sz w:val="22"/>
        </w:rPr>
        <w:t> </w:t>
      </w:r>
      <w:r>
        <w:rPr>
          <w:sz w:val="22"/>
        </w:rPr>
        <w:t>self-reliance</w:t>
      </w:r>
      <w:r>
        <w:rPr>
          <w:spacing w:val="40"/>
          <w:sz w:val="22"/>
        </w:rPr>
        <w:t> </w:t>
      </w:r>
      <w:r>
        <w:rPr>
          <w:sz w:val="22"/>
        </w:rPr>
        <w:t>among</w:t>
      </w:r>
      <w:r>
        <w:rPr>
          <w:spacing w:val="40"/>
          <w:sz w:val="22"/>
        </w:rPr>
        <w:t> </w:t>
      </w:r>
      <w:r>
        <w:rPr>
          <w:sz w:val="22"/>
        </w:rPr>
        <w:t>development countries through exchange of experience, the sharing and utilization of their combined resource, and the development of complementary capabilities;</w:t>
      </w:r>
    </w:p>
    <w:p>
      <w:pPr>
        <w:spacing w:after="0" w:line="372" w:lineRule="auto"/>
        <w:jc w:val="both"/>
        <w:rPr>
          <w:sz w:val="22"/>
        </w:rPr>
        <w:sectPr>
          <w:pgSz w:w="12240" w:h="15840"/>
          <w:pgMar w:header="701" w:footer="0" w:top="1260" w:bottom="280" w:left="1720" w:right="1440"/>
        </w:sectPr>
      </w:pPr>
    </w:p>
    <w:p>
      <w:pPr>
        <w:pStyle w:val="ListParagraph"/>
        <w:numPr>
          <w:ilvl w:val="0"/>
          <w:numId w:val="2"/>
        </w:numPr>
        <w:tabs>
          <w:tab w:pos="1525" w:val="left" w:leader="none"/>
        </w:tabs>
        <w:spacing w:line="369" w:lineRule="auto" w:before="85" w:after="0"/>
        <w:ind w:left="1524" w:right="423" w:hanging="341"/>
        <w:jc w:val="both"/>
        <w:rPr>
          <w:sz w:val="22"/>
        </w:rPr>
      </w:pPr>
      <w:r>
        <w:rPr>
          <w:sz w:val="22"/>
        </w:rPr>
        <w:t>to strengthen the capacity of developing countries to identify and analyze together the main issues of their development and to formulate the requisite strategies and policies in the conduct of their international economic relations and during negotiations being held within the UN system, especially at the committee of the whole for the establishment of the New International</w:t>
      </w:r>
      <w:r>
        <w:rPr>
          <w:spacing w:val="40"/>
          <w:sz w:val="22"/>
        </w:rPr>
        <w:t> </w:t>
      </w:r>
      <w:r>
        <w:rPr>
          <w:sz w:val="22"/>
        </w:rPr>
        <w:t>Economic Order;</w:t>
      </w:r>
    </w:p>
    <w:p>
      <w:pPr>
        <w:pStyle w:val="BodyText"/>
        <w:spacing w:before="5"/>
        <w:rPr>
          <w:sz w:val="33"/>
        </w:rPr>
      </w:pPr>
    </w:p>
    <w:p>
      <w:pPr>
        <w:pStyle w:val="ListParagraph"/>
        <w:numPr>
          <w:ilvl w:val="0"/>
          <w:numId w:val="2"/>
        </w:numPr>
        <w:tabs>
          <w:tab w:pos="1525" w:val="left" w:leader="none"/>
        </w:tabs>
        <w:spacing w:line="369" w:lineRule="auto" w:before="0" w:after="0"/>
        <w:ind w:left="1524" w:right="420" w:hanging="341"/>
        <w:jc w:val="both"/>
        <w:rPr>
          <w:sz w:val="22"/>
        </w:rPr>
      </w:pPr>
      <w:r>
        <w:rPr>
          <w:sz w:val="22"/>
        </w:rPr>
        <w:t>to</w:t>
      </w:r>
      <w:r>
        <w:rPr>
          <w:spacing w:val="29"/>
          <w:sz w:val="22"/>
        </w:rPr>
        <w:t> </w:t>
      </w:r>
      <w:r>
        <w:rPr>
          <w:sz w:val="22"/>
        </w:rPr>
        <w:t>increase</w:t>
      </w:r>
      <w:r>
        <w:rPr>
          <w:spacing w:val="29"/>
          <w:sz w:val="22"/>
        </w:rPr>
        <w:t> </w:t>
      </w:r>
      <w:r>
        <w:rPr>
          <w:sz w:val="22"/>
        </w:rPr>
        <w:t>the</w:t>
      </w:r>
      <w:r>
        <w:rPr>
          <w:spacing w:val="29"/>
          <w:sz w:val="22"/>
        </w:rPr>
        <w:t> </w:t>
      </w:r>
      <w:r>
        <w:rPr>
          <w:sz w:val="22"/>
        </w:rPr>
        <w:t>quantum</w:t>
      </w:r>
      <w:r>
        <w:rPr>
          <w:spacing w:val="29"/>
          <w:sz w:val="22"/>
        </w:rPr>
        <w:t> </w:t>
      </w:r>
      <w:r>
        <w:rPr>
          <w:sz w:val="22"/>
        </w:rPr>
        <w:t>and</w:t>
      </w:r>
      <w:r>
        <w:rPr>
          <w:spacing w:val="29"/>
          <w:sz w:val="22"/>
        </w:rPr>
        <w:t> </w:t>
      </w:r>
      <w:r>
        <w:rPr>
          <w:sz w:val="22"/>
        </w:rPr>
        <w:t>enhance</w:t>
      </w:r>
      <w:r>
        <w:rPr>
          <w:spacing w:val="29"/>
          <w:sz w:val="22"/>
        </w:rPr>
        <w:t> </w:t>
      </w:r>
      <w:r>
        <w:rPr>
          <w:sz w:val="22"/>
        </w:rPr>
        <w:t>the</w:t>
      </w:r>
      <w:r>
        <w:rPr>
          <w:spacing w:val="29"/>
          <w:sz w:val="22"/>
        </w:rPr>
        <w:t> </w:t>
      </w:r>
      <w:r>
        <w:rPr>
          <w:sz w:val="22"/>
        </w:rPr>
        <w:t>quality</w:t>
      </w:r>
      <w:r>
        <w:rPr>
          <w:spacing w:val="29"/>
          <w:sz w:val="22"/>
        </w:rPr>
        <w:t> </w:t>
      </w:r>
      <w:r>
        <w:rPr>
          <w:sz w:val="22"/>
        </w:rPr>
        <w:t>of</w:t>
      </w:r>
      <w:r>
        <w:rPr>
          <w:spacing w:val="29"/>
          <w:sz w:val="22"/>
        </w:rPr>
        <w:t> </w:t>
      </w:r>
      <w:r>
        <w:rPr>
          <w:sz w:val="22"/>
        </w:rPr>
        <w:t>international</w:t>
      </w:r>
      <w:r>
        <w:rPr>
          <w:spacing w:val="29"/>
          <w:sz w:val="22"/>
        </w:rPr>
        <w:t> </w:t>
      </w:r>
      <w:r>
        <w:rPr>
          <w:sz w:val="22"/>
        </w:rPr>
        <w:t>co-operation as well as to improve the effectiveness of the resources devoted to over-all technical co-operation;</w:t>
      </w:r>
    </w:p>
    <w:p>
      <w:pPr>
        <w:pStyle w:val="BodyText"/>
        <w:spacing w:before="7"/>
        <w:rPr>
          <w:sz w:val="33"/>
        </w:rPr>
      </w:pPr>
    </w:p>
    <w:p>
      <w:pPr>
        <w:pStyle w:val="BodyText"/>
        <w:spacing w:line="374" w:lineRule="auto"/>
        <w:ind w:left="1184" w:hanging="336"/>
      </w:pPr>
      <w:r>
        <w:rPr/>
        <w:t>3.</w:t>
      </w:r>
      <w:r>
        <w:rPr>
          <w:spacing w:val="80"/>
        </w:rPr>
        <w:t> </w:t>
      </w:r>
      <w:r>
        <w:rPr>
          <w:b/>
        </w:rPr>
        <w:t>REQUESTS </w:t>
      </w:r>
      <w:r>
        <w:rPr/>
        <w:t>the OAU Administrative Secretary-General to submit a report on the outcome of the conference to the next Session of the Council of Ministers.</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67040" type="#_x0000_t202" id="docshape1" filled="false" stroked="false">
          <v:textbox inset="0,0,0,0">
            <w:txbxContent>
              <w:p>
                <w:pPr>
                  <w:pStyle w:val="BodyText"/>
                  <w:spacing w:before="15"/>
                  <w:ind w:left="20"/>
                </w:pPr>
                <w:r>
                  <w:rPr/>
                  <w:t>CM/Res.</w:t>
                </w:r>
                <w:r>
                  <w:rPr>
                    <w:spacing w:val="26"/>
                  </w:rPr>
                  <w:t> </w:t>
                </w:r>
                <w:r>
                  <w:rPr>
                    <w:spacing w:val="-2"/>
                  </w:rPr>
                  <w:t>659(XXXI)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524" w:hanging="34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2276" w:hanging="341"/>
      </w:pPr>
      <w:rPr>
        <w:rFonts w:hint="default"/>
        <w:lang w:val="en-US" w:eastAsia="en-US" w:bidi="ar-SA"/>
      </w:rPr>
    </w:lvl>
    <w:lvl w:ilvl="2">
      <w:start w:val="0"/>
      <w:numFmt w:val="bullet"/>
      <w:lvlText w:val="•"/>
      <w:lvlJc w:val="left"/>
      <w:pPr>
        <w:ind w:left="3032" w:hanging="341"/>
      </w:pPr>
      <w:rPr>
        <w:rFonts w:hint="default"/>
        <w:lang w:val="en-US" w:eastAsia="en-US" w:bidi="ar-SA"/>
      </w:rPr>
    </w:lvl>
    <w:lvl w:ilvl="3">
      <w:start w:val="0"/>
      <w:numFmt w:val="bullet"/>
      <w:lvlText w:val="•"/>
      <w:lvlJc w:val="left"/>
      <w:pPr>
        <w:ind w:left="3788" w:hanging="341"/>
      </w:pPr>
      <w:rPr>
        <w:rFonts w:hint="default"/>
        <w:lang w:val="en-US" w:eastAsia="en-US" w:bidi="ar-SA"/>
      </w:rPr>
    </w:lvl>
    <w:lvl w:ilvl="4">
      <w:start w:val="0"/>
      <w:numFmt w:val="bullet"/>
      <w:lvlText w:val="•"/>
      <w:lvlJc w:val="left"/>
      <w:pPr>
        <w:ind w:left="4544" w:hanging="341"/>
      </w:pPr>
      <w:rPr>
        <w:rFonts w:hint="default"/>
        <w:lang w:val="en-US" w:eastAsia="en-US" w:bidi="ar-SA"/>
      </w:rPr>
    </w:lvl>
    <w:lvl w:ilvl="5">
      <w:start w:val="0"/>
      <w:numFmt w:val="bullet"/>
      <w:lvlText w:val="•"/>
      <w:lvlJc w:val="left"/>
      <w:pPr>
        <w:ind w:left="5300" w:hanging="341"/>
      </w:pPr>
      <w:rPr>
        <w:rFonts w:hint="default"/>
        <w:lang w:val="en-US" w:eastAsia="en-US" w:bidi="ar-SA"/>
      </w:rPr>
    </w:lvl>
    <w:lvl w:ilvl="6">
      <w:start w:val="0"/>
      <w:numFmt w:val="bullet"/>
      <w:lvlText w:val="•"/>
      <w:lvlJc w:val="left"/>
      <w:pPr>
        <w:ind w:left="6056" w:hanging="341"/>
      </w:pPr>
      <w:rPr>
        <w:rFonts w:hint="default"/>
        <w:lang w:val="en-US" w:eastAsia="en-US" w:bidi="ar-SA"/>
      </w:rPr>
    </w:lvl>
    <w:lvl w:ilvl="7">
      <w:start w:val="0"/>
      <w:numFmt w:val="bullet"/>
      <w:lvlText w:val="•"/>
      <w:lvlJc w:val="left"/>
      <w:pPr>
        <w:ind w:left="6812" w:hanging="341"/>
      </w:pPr>
      <w:rPr>
        <w:rFonts w:hint="default"/>
        <w:lang w:val="en-US" w:eastAsia="en-US" w:bidi="ar-SA"/>
      </w:rPr>
    </w:lvl>
    <w:lvl w:ilvl="8">
      <w:start w:val="0"/>
      <w:numFmt w:val="bullet"/>
      <w:lvlText w:val="•"/>
      <w:lvlJc w:val="left"/>
      <w:pPr>
        <w:ind w:left="7568" w:hanging="341"/>
      </w:pPr>
      <w:rPr>
        <w:rFonts w:hint="default"/>
        <w:lang w:val="en-US" w:eastAsia="en-US" w:bidi="ar-SA"/>
      </w:rPr>
    </w:lvl>
  </w:abstractNum>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524" w:hanging="341"/>
      </w:pPr>
      <w:rPr>
        <w:rFonts w:hint="default" w:ascii="Times New Roman" w:hAnsi="Times New Roman" w:eastAsia="Times New Roman" w:cs="Times New Roman"/>
        <w:b/>
        <w:bCs/>
        <w:i w:val="0"/>
        <w:iCs w:val="0"/>
        <w:w w:val="101"/>
        <w:sz w:val="22"/>
        <w:szCs w:val="22"/>
        <w:lang w:val="en-US" w:eastAsia="en-US" w:bidi="ar-SA"/>
      </w:rPr>
    </w:lvl>
    <w:lvl w:ilvl="2">
      <w:start w:val="0"/>
      <w:numFmt w:val="bullet"/>
      <w:lvlText w:val="•"/>
      <w:lvlJc w:val="left"/>
      <w:pPr>
        <w:ind w:left="2360" w:hanging="341"/>
      </w:pPr>
      <w:rPr>
        <w:rFonts w:hint="default"/>
        <w:lang w:val="en-US" w:eastAsia="en-US" w:bidi="ar-SA"/>
      </w:rPr>
    </w:lvl>
    <w:lvl w:ilvl="3">
      <w:start w:val="0"/>
      <w:numFmt w:val="bullet"/>
      <w:lvlText w:val="•"/>
      <w:lvlJc w:val="left"/>
      <w:pPr>
        <w:ind w:left="3200" w:hanging="341"/>
      </w:pPr>
      <w:rPr>
        <w:rFonts w:hint="default"/>
        <w:lang w:val="en-US" w:eastAsia="en-US" w:bidi="ar-SA"/>
      </w:rPr>
    </w:lvl>
    <w:lvl w:ilvl="4">
      <w:start w:val="0"/>
      <w:numFmt w:val="bullet"/>
      <w:lvlText w:val="•"/>
      <w:lvlJc w:val="left"/>
      <w:pPr>
        <w:ind w:left="4040" w:hanging="341"/>
      </w:pPr>
      <w:rPr>
        <w:rFonts w:hint="default"/>
        <w:lang w:val="en-US" w:eastAsia="en-US" w:bidi="ar-SA"/>
      </w:rPr>
    </w:lvl>
    <w:lvl w:ilvl="5">
      <w:start w:val="0"/>
      <w:numFmt w:val="bullet"/>
      <w:lvlText w:val="•"/>
      <w:lvlJc w:val="left"/>
      <w:pPr>
        <w:ind w:left="4880" w:hanging="341"/>
      </w:pPr>
      <w:rPr>
        <w:rFonts w:hint="default"/>
        <w:lang w:val="en-US" w:eastAsia="en-US" w:bidi="ar-SA"/>
      </w:rPr>
    </w:lvl>
    <w:lvl w:ilvl="6">
      <w:start w:val="0"/>
      <w:numFmt w:val="bullet"/>
      <w:lvlText w:val="•"/>
      <w:lvlJc w:val="left"/>
      <w:pPr>
        <w:ind w:left="5720" w:hanging="341"/>
      </w:pPr>
      <w:rPr>
        <w:rFonts w:hint="default"/>
        <w:lang w:val="en-US" w:eastAsia="en-US" w:bidi="ar-SA"/>
      </w:rPr>
    </w:lvl>
    <w:lvl w:ilvl="7">
      <w:start w:val="0"/>
      <w:numFmt w:val="bullet"/>
      <w:lvlText w:val="•"/>
      <w:lvlJc w:val="left"/>
      <w:pPr>
        <w:ind w:left="6560" w:hanging="341"/>
      </w:pPr>
      <w:rPr>
        <w:rFonts w:hint="default"/>
        <w:lang w:val="en-US" w:eastAsia="en-US" w:bidi="ar-SA"/>
      </w:rPr>
    </w:lvl>
    <w:lvl w:ilvl="8">
      <w:start w:val="0"/>
      <w:numFmt w:val="bullet"/>
      <w:lvlText w:val="•"/>
      <w:lvlJc w:val="left"/>
      <w:pPr>
        <w:ind w:left="7400" w:hanging="34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590" w:right="1871"/>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524" w:right="424"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2023-06-07T08:57:31Z</dcterms:created>
  <dcterms:modified xsi:type="dcterms:W3CDTF">2023-06-07T08:57:31Z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