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ind w:left="3661" w:right="3930"/>
        <w:rPr>
          <w:u w:val="none"/>
        </w:rPr>
      </w:pPr>
      <w:r>
        <w:rPr>
          <w:spacing w:val="-2"/>
          <w:u w:val="single"/>
        </w:rPr>
        <w:t>RESOLUTION</w:t>
      </w:r>
    </w:p>
    <w:p>
      <w:pPr>
        <w:pStyle w:val="Title"/>
        <w:spacing w:before="136"/>
        <w:rPr>
          <w:u w:val="none"/>
        </w:rPr>
      </w:pPr>
      <w:r>
        <w:rPr>
          <w:u w:val="single"/>
        </w:rPr>
        <w:t>ON</w:t>
      </w:r>
      <w:r>
        <w:rPr>
          <w:spacing w:val="15"/>
          <w:u w:val="single"/>
        </w:rPr>
        <w:t> </w:t>
      </w:r>
      <w:r>
        <w:rPr>
          <w:u w:val="single"/>
        </w:rPr>
        <w:t>AFRO-ARAB</w:t>
      </w:r>
      <w:r>
        <w:rPr>
          <w:spacing w:val="17"/>
          <w:u w:val="single"/>
        </w:rPr>
        <w:t> </w:t>
      </w:r>
      <w:r>
        <w:rPr>
          <w:spacing w:val="-2"/>
          <w:u w:val="single"/>
        </w:rPr>
        <w:t>COOPERATION</w:t>
      </w:r>
    </w:p>
    <w:p>
      <w:pPr>
        <w:pStyle w:val="BodyText"/>
        <w:rPr>
          <w:b/>
          <w:sz w:val="20"/>
        </w:rPr>
      </w:pPr>
    </w:p>
    <w:p>
      <w:pPr>
        <w:pStyle w:val="BodyText"/>
        <w:spacing w:before="5"/>
        <w:rPr>
          <w:b/>
          <w:sz w:val="16"/>
        </w:rPr>
      </w:pPr>
    </w:p>
    <w:p>
      <w:pPr>
        <w:pStyle w:val="BodyText"/>
        <w:spacing w:line="37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2"/>
        <w:rPr>
          <w:sz w:val="33"/>
        </w:rPr>
      </w:pPr>
    </w:p>
    <w:p>
      <w:pPr>
        <w:pStyle w:val="BodyText"/>
        <w:spacing w:line="369" w:lineRule="auto"/>
        <w:ind w:left="171" w:firstLine="676"/>
      </w:pPr>
      <w:r>
        <w:rPr>
          <w:b/>
          <w:u w:val="single"/>
        </w:rPr>
        <w:t>Recalling</w:t>
      </w:r>
      <w:r>
        <w:rPr>
          <w:b/>
        </w:rPr>
        <w:t> </w:t>
      </w:r>
      <w:r>
        <w:rPr/>
        <w:t>the Resolution CM/595 (XXX) adopted by the Council during its Thirtieth</w:t>
      </w:r>
      <w:r>
        <w:rPr>
          <w:spacing w:val="40"/>
        </w:rPr>
        <w:t> </w:t>
      </w:r>
      <w:r>
        <w:rPr/>
        <w:t>Ordinary Session held in Tripoli, from 20 to 28 February, 1978;</w:t>
      </w:r>
    </w:p>
    <w:p>
      <w:pPr>
        <w:pStyle w:val="BodyText"/>
        <w:spacing w:before="4"/>
        <w:rPr>
          <w:sz w:val="25"/>
        </w:rPr>
      </w:pPr>
    </w:p>
    <w:p>
      <w:pPr>
        <w:pStyle w:val="BodyText"/>
        <w:spacing w:before="96"/>
        <w:ind w:left="848"/>
      </w:pPr>
      <w:r>
        <w:rPr>
          <w:b/>
          <w:u w:val="single"/>
        </w:rPr>
        <w:t>Desirous</w:t>
      </w:r>
      <w:r>
        <w:rPr>
          <w:b/>
          <w:spacing w:val="35"/>
        </w:rPr>
        <w:t> </w:t>
      </w:r>
      <w:r>
        <w:rPr/>
        <w:t>of</w:t>
      </w:r>
      <w:r>
        <w:rPr>
          <w:spacing w:val="38"/>
        </w:rPr>
        <w:t> </w:t>
      </w:r>
      <w:r>
        <w:rPr/>
        <w:t>strengthening</w:t>
      </w:r>
      <w:r>
        <w:rPr>
          <w:spacing w:val="39"/>
        </w:rPr>
        <w:t> </w:t>
      </w:r>
      <w:r>
        <w:rPr/>
        <w:t>the</w:t>
      </w:r>
      <w:r>
        <w:rPr>
          <w:spacing w:val="38"/>
        </w:rPr>
        <w:t> </w:t>
      </w:r>
      <w:r>
        <w:rPr/>
        <w:t>ties</w:t>
      </w:r>
      <w:r>
        <w:rPr>
          <w:spacing w:val="38"/>
        </w:rPr>
        <w:t> </w:t>
      </w:r>
      <w:r>
        <w:rPr/>
        <w:t>of</w:t>
      </w:r>
      <w:r>
        <w:rPr>
          <w:spacing w:val="38"/>
        </w:rPr>
        <w:t> </w:t>
      </w:r>
      <w:r>
        <w:rPr/>
        <w:t>Afro-Arab</w:t>
      </w:r>
      <w:r>
        <w:rPr>
          <w:spacing w:val="35"/>
        </w:rPr>
        <w:t> </w:t>
      </w:r>
      <w:r>
        <w:rPr/>
        <w:t>solidarity</w:t>
      </w:r>
      <w:r>
        <w:rPr>
          <w:spacing w:val="34"/>
        </w:rPr>
        <w:t> </w:t>
      </w:r>
      <w:r>
        <w:rPr/>
        <w:t>and</w:t>
      </w:r>
      <w:r>
        <w:rPr>
          <w:spacing w:val="36"/>
        </w:rPr>
        <w:t> </w:t>
      </w:r>
      <w:r>
        <w:rPr/>
        <w:t>cooperation</w:t>
      </w:r>
      <w:r>
        <w:rPr>
          <w:spacing w:val="36"/>
        </w:rPr>
        <w:t> </w:t>
      </w:r>
      <w:r>
        <w:rPr/>
        <w:t>in</w:t>
      </w:r>
      <w:r>
        <w:rPr>
          <w:spacing w:val="36"/>
        </w:rPr>
        <w:t> </w:t>
      </w:r>
      <w:r>
        <w:rPr>
          <w:spacing w:val="-2"/>
        </w:rPr>
        <w:t>every</w:t>
      </w:r>
    </w:p>
    <w:p>
      <w:pPr>
        <w:pStyle w:val="BodyText"/>
        <w:spacing w:before="136"/>
        <w:ind w:left="171"/>
      </w:pPr>
      <w:r>
        <w:rPr>
          <w:spacing w:val="-2"/>
        </w:rPr>
        <w:t>field;</w:t>
      </w:r>
    </w:p>
    <w:p>
      <w:pPr>
        <w:pStyle w:val="BodyText"/>
        <w:rPr>
          <w:sz w:val="20"/>
        </w:rPr>
      </w:pPr>
    </w:p>
    <w:p>
      <w:pPr>
        <w:pStyle w:val="BodyText"/>
        <w:spacing w:before="8"/>
        <w:rPr>
          <w:sz w:val="17"/>
        </w:rPr>
      </w:pPr>
    </w:p>
    <w:p>
      <w:pPr>
        <w:pStyle w:val="BodyText"/>
        <w:spacing w:line="369" w:lineRule="auto" w:before="96"/>
        <w:ind w:left="171" w:right="286" w:firstLine="676"/>
      </w:pPr>
      <w:r>
        <w:rPr>
          <w:b/>
          <w:u w:val="single"/>
        </w:rPr>
        <w:t>Conscious</w:t>
      </w:r>
      <w:r>
        <w:rPr>
          <w:b/>
        </w:rPr>
        <w:t> </w:t>
      </w:r>
      <w:r>
        <w:rPr/>
        <w:t>of the vital importance and role the Afro-Arab Working Groups are called</w:t>
      </w:r>
      <w:r>
        <w:rPr>
          <w:spacing w:val="40"/>
        </w:rPr>
        <w:t> </w:t>
      </w:r>
      <w:r>
        <w:rPr/>
        <w:t>upon to play for promoting and strengthening this cooperation:</w:t>
      </w:r>
    </w:p>
    <w:p>
      <w:pPr>
        <w:pStyle w:val="BodyText"/>
        <w:spacing w:before="3"/>
        <w:rPr>
          <w:sz w:val="33"/>
        </w:rPr>
      </w:pPr>
    </w:p>
    <w:p>
      <w:pPr>
        <w:pStyle w:val="ListParagraph"/>
        <w:numPr>
          <w:ilvl w:val="0"/>
          <w:numId w:val="1"/>
        </w:numPr>
        <w:tabs>
          <w:tab w:pos="1185" w:val="left" w:leader="none"/>
        </w:tabs>
        <w:spacing w:line="374" w:lineRule="auto" w:before="0" w:after="0"/>
        <w:ind w:left="1183" w:right="428" w:hanging="336"/>
        <w:jc w:val="both"/>
        <w:rPr>
          <w:sz w:val="22"/>
        </w:rPr>
      </w:pPr>
      <w:r>
        <w:rPr>
          <w:b/>
          <w:sz w:val="22"/>
        </w:rPr>
        <w:t>NOTES WITH APPRECIATION </w:t>
      </w:r>
      <w:r>
        <w:rPr>
          <w:sz w:val="22"/>
        </w:rPr>
        <w:t>the report of the Administrative Secretary- General on the activities and achievements in the field of Afro-Arab Cooperation;</w:t>
      </w:r>
    </w:p>
    <w:p>
      <w:pPr>
        <w:pStyle w:val="BodyText"/>
        <w:spacing w:before="2"/>
        <w:rPr>
          <w:sz w:val="33"/>
        </w:rPr>
      </w:pPr>
    </w:p>
    <w:p>
      <w:pPr>
        <w:pStyle w:val="ListParagraph"/>
        <w:numPr>
          <w:ilvl w:val="0"/>
          <w:numId w:val="1"/>
        </w:numPr>
        <w:tabs>
          <w:tab w:pos="1185" w:val="left" w:leader="none"/>
        </w:tabs>
        <w:spacing w:line="369" w:lineRule="auto" w:before="0" w:after="0"/>
        <w:ind w:left="1183" w:right="424" w:hanging="336"/>
        <w:jc w:val="both"/>
        <w:rPr>
          <w:sz w:val="22"/>
        </w:rPr>
      </w:pPr>
      <w:r>
        <w:rPr>
          <w:b/>
          <w:sz w:val="22"/>
        </w:rPr>
        <w:t>CONGRATULATES </w:t>
      </w:r>
      <w:r>
        <w:rPr>
          <w:sz w:val="22"/>
        </w:rPr>
        <w:t>the Administrative Secretary-General of the OAU and the Secretary-General of the League of Arab States on the efforts deployed toward the establishment of the executive organs for Afro-Arab Cooperation;</w:t>
      </w:r>
    </w:p>
    <w:p>
      <w:pPr>
        <w:pStyle w:val="BodyText"/>
        <w:spacing w:before="7"/>
        <w:rPr>
          <w:sz w:val="33"/>
        </w:rPr>
      </w:pPr>
    </w:p>
    <w:p>
      <w:pPr>
        <w:pStyle w:val="ListParagraph"/>
        <w:numPr>
          <w:ilvl w:val="0"/>
          <w:numId w:val="1"/>
        </w:numPr>
        <w:tabs>
          <w:tab w:pos="1185" w:val="left" w:leader="none"/>
        </w:tabs>
        <w:spacing w:line="369" w:lineRule="auto" w:before="0" w:after="0"/>
        <w:ind w:left="1183" w:right="435" w:hanging="336"/>
        <w:jc w:val="both"/>
        <w:rPr>
          <w:sz w:val="22"/>
        </w:rPr>
      </w:pPr>
      <w:r>
        <w:rPr>
          <w:b/>
          <w:sz w:val="22"/>
        </w:rPr>
        <w:t>COMMENDS </w:t>
      </w:r>
      <w:r>
        <w:rPr>
          <w:sz w:val="22"/>
        </w:rPr>
        <w:t>the effort exerted by the Arab States to honour the Commitments undertaken at the First Cairo Afro-Arab Summit, which is a concretization of the Afro-Arab cooperation in the context of the Cairo Declaration and Programme of </w:t>
      </w:r>
      <w:r>
        <w:rPr>
          <w:spacing w:val="-2"/>
          <w:sz w:val="22"/>
        </w:rPr>
        <w:t>Action;</w:t>
      </w:r>
    </w:p>
    <w:p>
      <w:pPr>
        <w:pStyle w:val="BodyText"/>
        <w:spacing w:before="6"/>
        <w:rPr>
          <w:sz w:val="33"/>
        </w:rPr>
      </w:pPr>
    </w:p>
    <w:p>
      <w:pPr>
        <w:pStyle w:val="ListParagraph"/>
        <w:numPr>
          <w:ilvl w:val="0"/>
          <w:numId w:val="1"/>
        </w:numPr>
        <w:tabs>
          <w:tab w:pos="1185" w:val="left" w:leader="none"/>
        </w:tabs>
        <w:spacing w:line="369" w:lineRule="auto" w:before="1" w:after="0"/>
        <w:ind w:left="1183" w:right="424" w:hanging="336"/>
        <w:jc w:val="both"/>
        <w:rPr>
          <w:sz w:val="22"/>
        </w:rPr>
      </w:pPr>
      <w:r>
        <w:rPr>
          <w:b/>
          <w:sz w:val="22"/>
        </w:rPr>
        <w:t>URGES </w:t>
      </w:r>
      <w:r>
        <w:rPr>
          <w:sz w:val="22"/>
        </w:rPr>
        <w:t>the Sister Arab States to pursue and increase their efforts toward all the African States as well as liberation movements recognized by the OAU and particularly they should supply urgent assistance to the least developed island and landlocked countries to be able to settle their communication and transport</w:t>
      </w:r>
      <w:r>
        <w:rPr>
          <w:spacing w:val="40"/>
          <w:sz w:val="22"/>
        </w:rPr>
        <w:t> </w:t>
      </w:r>
      <w:r>
        <w:rPr>
          <w:spacing w:val="-2"/>
          <w:sz w:val="22"/>
        </w:rPr>
        <w:t>problems.</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ListParagraph"/>
        <w:numPr>
          <w:ilvl w:val="0"/>
          <w:numId w:val="1"/>
        </w:numPr>
        <w:tabs>
          <w:tab w:pos="1185" w:val="left" w:leader="none"/>
        </w:tabs>
        <w:spacing w:line="367" w:lineRule="auto" w:before="85" w:after="0"/>
        <w:ind w:left="1183" w:right="420" w:hanging="336"/>
        <w:jc w:val="both"/>
        <w:rPr>
          <w:sz w:val="22"/>
        </w:rPr>
      </w:pPr>
      <w:r>
        <w:rPr>
          <w:b/>
          <w:sz w:val="22"/>
        </w:rPr>
        <w:t>ENDORSES </w:t>
      </w:r>
      <w:r>
        <w:rPr>
          <w:sz w:val="22"/>
        </w:rPr>
        <w:t>the recommendations and decisions adopted by the Afro-Arab Standing Commission during its Third Ordinary Session held in Niamey-Niger, which constitute the basis and conditions for the future development of Afro-Arab </w:t>
      </w:r>
      <w:r>
        <w:rPr>
          <w:spacing w:val="-2"/>
          <w:sz w:val="22"/>
        </w:rPr>
        <w:t>cooperation;</w:t>
      </w:r>
    </w:p>
    <w:p>
      <w:pPr>
        <w:pStyle w:val="BodyText"/>
        <w:spacing w:before="5"/>
        <w:rPr>
          <w:sz w:val="34"/>
        </w:rPr>
      </w:pPr>
    </w:p>
    <w:p>
      <w:pPr>
        <w:pStyle w:val="ListParagraph"/>
        <w:numPr>
          <w:ilvl w:val="0"/>
          <w:numId w:val="1"/>
        </w:numPr>
        <w:tabs>
          <w:tab w:pos="1185" w:val="left" w:leader="none"/>
        </w:tabs>
        <w:spacing w:line="369" w:lineRule="auto" w:before="0" w:after="0"/>
        <w:ind w:left="1183" w:right="420" w:hanging="336"/>
        <w:jc w:val="both"/>
        <w:rPr>
          <w:sz w:val="22"/>
        </w:rPr>
      </w:pPr>
      <w:r>
        <w:rPr>
          <w:b/>
          <w:sz w:val="22"/>
        </w:rPr>
        <w:t>URGES </w:t>
      </w:r>
      <w:r>
        <w:rPr>
          <w:sz w:val="22"/>
        </w:rPr>
        <w:t>all OAU member States called upon to provide experts to the Afro-Arab working Groups, to ensure that they effectively appoint technically competent experts</w:t>
      </w:r>
      <w:r>
        <w:rPr>
          <w:spacing w:val="29"/>
          <w:sz w:val="22"/>
        </w:rPr>
        <w:t> </w:t>
      </w:r>
      <w:r>
        <w:rPr>
          <w:sz w:val="22"/>
        </w:rPr>
        <w:t>for</w:t>
      </w:r>
      <w:r>
        <w:rPr>
          <w:spacing w:val="29"/>
          <w:sz w:val="22"/>
        </w:rPr>
        <w:t> </w:t>
      </w:r>
      <w:r>
        <w:rPr>
          <w:sz w:val="22"/>
        </w:rPr>
        <w:t>a</w:t>
      </w:r>
      <w:r>
        <w:rPr>
          <w:spacing w:val="29"/>
          <w:sz w:val="22"/>
        </w:rPr>
        <w:t> </w:t>
      </w:r>
      <w:r>
        <w:rPr>
          <w:sz w:val="22"/>
        </w:rPr>
        <w:t>positive</w:t>
      </w:r>
      <w:r>
        <w:rPr>
          <w:spacing w:val="29"/>
          <w:sz w:val="22"/>
        </w:rPr>
        <w:t> </w:t>
      </w:r>
      <w:r>
        <w:rPr>
          <w:sz w:val="22"/>
        </w:rPr>
        <w:t>and</w:t>
      </w:r>
      <w:r>
        <w:rPr>
          <w:spacing w:val="30"/>
          <w:sz w:val="22"/>
        </w:rPr>
        <w:t> </w:t>
      </w:r>
      <w:r>
        <w:rPr>
          <w:sz w:val="22"/>
        </w:rPr>
        <w:t>a</w:t>
      </w:r>
      <w:r>
        <w:rPr>
          <w:spacing w:val="29"/>
          <w:sz w:val="22"/>
        </w:rPr>
        <w:t> </w:t>
      </w:r>
      <w:r>
        <w:rPr>
          <w:sz w:val="22"/>
        </w:rPr>
        <w:t>dynamic</w:t>
      </w:r>
      <w:r>
        <w:rPr>
          <w:spacing w:val="29"/>
          <w:sz w:val="22"/>
        </w:rPr>
        <w:t> </w:t>
      </w:r>
      <w:r>
        <w:rPr>
          <w:sz w:val="22"/>
        </w:rPr>
        <w:t>contribution</w:t>
      </w:r>
      <w:r>
        <w:rPr>
          <w:spacing w:val="30"/>
          <w:sz w:val="22"/>
        </w:rPr>
        <w:t> </w:t>
      </w:r>
      <w:r>
        <w:rPr>
          <w:sz w:val="22"/>
        </w:rPr>
        <w:t>in</w:t>
      </w:r>
      <w:r>
        <w:rPr>
          <w:spacing w:val="30"/>
          <w:sz w:val="22"/>
        </w:rPr>
        <w:t> </w:t>
      </w:r>
      <w:r>
        <w:rPr>
          <w:sz w:val="22"/>
        </w:rPr>
        <w:t>the</w:t>
      </w:r>
      <w:r>
        <w:rPr>
          <w:spacing w:val="29"/>
          <w:sz w:val="22"/>
        </w:rPr>
        <w:t> </w:t>
      </w:r>
      <w:r>
        <w:rPr>
          <w:sz w:val="22"/>
        </w:rPr>
        <w:t>realisation</w:t>
      </w:r>
      <w:r>
        <w:rPr>
          <w:spacing w:val="30"/>
          <w:sz w:val="22"/>
        </w:rPr>
        <w:t> </w:t>
      </w:r>
      <w:r>
        <w:rPr>
          <w:sz w:val="22"/>
        </w:rPr>
        <w:t>of</w:t>
      </w:r>
      <w:r>
        <w:rPr>
          <w:spacing w:val="29"/>
          <w:sz w:val="22"/>
        </w:rPr>
        <w:t> </w:t>
      </w:r>
      <w:r>
        <w:rPr>
          <w:sz w:val="22"/>
        </w:rPr>
        <w:t>the</w:t>
      </w:r>
      <w:r>
        <w:rPr>
          <w:spacing w:val="32"/>
          <w:sz w:val="22"/>
        </w:rPr>
        <w:t> </w:t>
      </w:r>
      <w:r>
        <w:rPr>
          <w:sz w:val="22"/>
        </w:rPr>
        <w:t>targets set by the Cairo Summit Conference;</w:t>
      </w:r>
    </w:p>
    <w:p>
      <w:pPr>
        <w:pStyle w:val="BodyText"/>
        <w:spacing w:before="6"/>
        <w:rPr>
          <w:sz w:val="33"/>
        </w:rPr>
      </w:pPr>
    </w:p>
    <w:p>
      <w:pPr>
        <w:pStyle w:val="ListParagraph"/>
        <w:numPr>
          <w:ilvl w:val="0"/>
          <w:numId w:val="1"/>
        </w:numPr>
        <w:tabs>
          <w:tab w:pos="1185" w:val="left" w:leader="none"/>
        </w:tabs>
        <w:spacing w:line="372" w:lineRule="auto" w:before="0" w:after="0"/>
        <w:ind w:left="1183" w:right="424" w:hanging="336"/>
        <w:jc w:val="both"/>
        <w:rPr>
          <w:sz w:val="22"/>
        </w:rPr>
      </w:pPr>
      <w:r>
        <w:rPr>
          <w:b/>
          <w:sz w:val="22"/>
        </w:rPr>
        <w:t>AUTHORIZES </w:t>
      </w:r>
      <w:r>
        <w:rPr>
          <w:sz w:val="22"/>
        </w:rPr>
        <w:t>the Administrative Secretary-General after consultation with the Secretary-General of the LAS to take necessary steps to set up specialized panels composed of experts from African and Arab countries and Institutions;</w:t>
      </w:r>
    </w:p>
    <w:p>
      <w:pPr>
        <w:pStyle w:val="BodyText"/>
        <w:rPr>
          <w:sz w:val="33"/>
        </w:rPr>
      </w:pPr>
    </w:p>
    <w:p>
      <w:pPr>
        <w:pStyle w:val="ListParagraph"/>
        <w:numPr>
          <w:ilvl w:val="0"/>
          <w:numId w:val="1"/>
        </w:numPr>
        <w:tabs>
          <w:tab w:pos="1185" w:val="left" w:leader="none"/>
        </w:tabs>
        <w:spacing w:line="369" w:lineRule="auto" w:before="0" w:after="0"/>
        <w:ind w:left="1183" w:right="421" w:hanging="336"/>
        <w:jc w:val="both"/>
        <w:rPr>
          <w:sz w:val="22"/>
        </w:rPr>
      </w:pPr>
      <w:r>
        <w:rPr>
          <w:b/>
          <w:sz w:val="22"/>
        </w:rPr>
        <w:t>CALLS</w:t>
      </w:r>
      <w:r>
        <w:rPr>
          <w:b/>
          <w:spacing w:val="31"/>
          <w:sz w:val="22"/>
        </w:rPr>
        <w:t> </w:t>
      </w:r>
      <w:r>
        <w:rPr>
          <w:b/>
          <w:sz w:val="22"/>
        </w:rPr>
        <w:t>UPON</w:t>
      </w:r>
      <w:r>
        <w:rPr>
          <w:b/>
          <w:spacing w:val="40"/>
          <w:sz w:val="22"/>
        </w:rPr>
        <w:t> </w:t>
      </w:r>
      <w:r>
        <w:rPr>
          <w:sz w:val="22"/>
        </w:rPr>
        <w:t>all</w:t>
      </w:r>
      <w:r>
        <w:rPr>
          <w:spacing w:val="34"/>
          <w:sz w:val="22"/>
        </w:rPr>
        <w:t> </w:t>
      </w:r>
      <w:r>
        <w:rPr>
          <w:sz w:val="22"/>
        </w:rPr>
        <w:t>Member</w:t>
      </w:r>
      <w:r>
        <w:rPr>
          <w:spacing w:val="34"/>
          <w:sz w:val="22"/>
        </w:rPr>
        <w:t> </w:t>
      </w:r>
      <w:r>
        <w:rPr>
          <w:sz w:val="22"/>
        </w:rPr>
        <w:t>States</w:t>
      </w:r>
      <w:r>
        <w:rPr>
          <w:spacing w:val="34"/>
          <w:sz w:val="22"/>
        </w:rPr>
        <w:t> </w:t>
      </w:r>
      <w:r>
        <w:rPr>
          <w:sz w:val="22"/>
        </w:rPr>
        <w:t>to</w:t>
      </w:r>
      <w:r>
        <w:rPr>
          <w:spacing w:val="34"/>
          <w:sz w:val="22"/>
        </w:rPr>
        <w:t> </w:t>
      </w:r>
      <w:r>
        <w:rPr>
          <w:sz w:val="22"/>
        </w:rPr>
        <w:t>submit</w:t>
      </w:r>
      <w:r>
        <w:rPr>
          <w:spacing w:val="34"/>
          <w:sz w:val="22"/>
        </w:rPr>
        <w:t> </w:t>
      </w:r>
      <w:r>
        <w:rPr>
          <w:sz w:val="22"/>
        </w:rPr>
        <w:t>to</w:t>
      </w:r>
      <w:r>
        <w:rPr>
          <w:spacing w:val="34"/>
          <w:sz w:val="22"/>
        </w:rPr>
        <w:t> </w:t>
      </w:r>
      <w:r>
        <w:rPr>
          <w:sz w:val="22"/>
        </w:rPr>
        <w:t>the</w:t>
      </w:r>
      <w:r>
        <w:rPr>
          <w:spacing w:val="34"/>
          <w:sz w:val="22"/>
        </w:rPr>
        <w:t> </w:t>
      </w:r>
      <w:r>
        <w:rPr>
          <w:sz w:val="22"/>
        </w:rPr>
        <w:t>OAU</w:t>
      </w:r>
      <w:r>
        <w:rPr>
          <w:spacing w:val="34"/>
          <w:sz w:val="22"/>
        </w:rPr>
        <w:t> </w:t>
      </w:r>
      <w:r>
        <w:rPr>
          <w:sz w:val="22"/>
        </w:rPr>
        <w:t>Committee</w:t>
      </w:r>
      <w:r>
        <w:rPr>
          <w:spacing w:val="34"/>
          <w:sz w:val="22"/>
        </w:rPr>
        <w:t> </w:t>
      </w:r>
      <w:r>
        <w:rPr>
          <w:sz w:val="22"/>
        </w:rPr>
        <w:t>of</w:t>
      </w:r>
      <w:r>
        <w:rPr>
          <w:spacing w:val="34"/>
          <w:sz w:val="22"/>
        </w:rPr>
        <w:t> </w:t>
      </w:r>
      <w:r>
        <w:rPr>
          <w:sz w:val="22"/>
        </w:rPr>
        <w:t>Twelve for Afro-Arab cooperation short, medium and long term priorities in every field of Afro-Arab</w:t>
      </w:r>
      <w:r>
        <w:rPr>
          <w:spacing w:val="40"/>
          <w:sz w:val="22"/>
        </w:rPr>
        <w:t> </w:t>
      </w:r>
      <w:r>
        <w:rPr>
          <w:sz w:val="22"/>
        </w:rPr>
        <w:t>Cooperation</w:t>
      </w:r>
      <w:r>
        <w:rPr>
          <w:spacing w:val="40"/>
          <w:sz w:val="22"/>
        </w:rPr>
        <w:t> </w:t>
      </w:r>
      <w:r>
        <w:rPr>
          <w:sz w:val="22"/>
        </w:rPr>
        <w:t>for</w:t>
      </w:r>
      <w:r>
        <w:rPr>
          <w:spacing w:val="40"/>
          <w:sz w:val="22"/>
        </w:rPr>
        <w:t> </w:t>
      </w:r>
      <w:r>
        <w:rPr>
          <w:sz w:val="22"/>
        </w:rPr>
        <w:t>the</w:t>
      </w:r>
      <w:r>
        <w:rPr>
          <w:spacing w:val="40"/>
          <w:sz w:val="22"/>
        </w:rPr>
        <w:t> </w:t>
      </w:r>
      <w:r>
        <w:rPr>
          <w:sz w:val="22"/>
        </w:rPr>
        <w:t>guidance</w:t>
      </w:r>
      <w:r>
        <w:rPr>
          <w:spacing w:val="40"/>
          <w:sz w:val="22"/>
        </w:rPr>
        <w:t> </w:t>
      </w:r>
      <w:r>
        <w:rPr>
          <w:sz w:val="22"/>
        </w:rPr>
        <w:t>of</w:t>
      </w:r>
      <w:r>
        <w:rPr>
          <w:spacing w:val="40"/>
          <w:sz w:val="22"/>
        </w:rPr>
        <w:t> </w:t>
      </w:r>
      <w:r>
        <w:rPr>
          <w:sz w:val="22"/>
        </w:rPr>
        <w:t>the</w:t>
      </w:r>
      <w:r>
        <w:rPr>
          <w:spacing w:val="40"/>
          <w:sz w:val="22"/>
        </w:rPr>
        <w:t> </w:t>
      </w:r>
      <w:r>
        <w:rPr>
          <w:sz w:val="22"/>
        </w:rPr>
        <w:t>proceedings</w:t>
      </w:r>
      <w:r>
        <w:rPr>
          <w:spacing w:val="40"/>
          <w:sz w:val="22"/>
        </w:rPr>
        <w:t> </w:t>
      </w:r>
      <w:r>
        <w:rPr>
          <w:sz w:val="22"/>
        </w:rPr>
        <w:t>of</w:t>
      </w:r>
      <w:r>
        <w:rPr>
          <w:spacing w:val="40"/>
          <w:sz w:val="22"/>
        </w:rPr>
        <w:t> </w:t>
      </w:r>
      <w:r>
        <w:rPr>
          <w:sz w:val="22"/>
        </w:rPr>
        <w:t>the</w:t>
      </w:r>
      <w:r>
        <w:rPr>
          <w:spacing w:val="40"/>
          <w:sz w:val="22"/>
        </w:rPr>
        <w:t> </w:t>
      </w:r>
      <w:r>
        <w:rPr>
          <w:sz w:val="22"/>
        </w:rPr>
        <w:t>Working Groups and specialized panels.</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60384" type="#_x0000_t202" id="docshape1" filled="false" stroked="false">
          <v:textbox inset="0,0,0,0">
            <w:txbxContent>
              <w:p>
                <w:pPr>
                  <w:pStyle w:val="BodyText"/>
                  <w:spacing w:before="15"/>
                  <w:ind w:left="20"/>
                </w:pPr>
                <w:r>
                  <w:rPr/>
                  <w:t>CM/Res.</w:t>
                </w:r>
                <w:r>
                  <w:rPr>
                    <w:spacing w:val="26"/>
                  </w:rPr>
                  <w:t> </w:t>
                </w:r>
                <w:r>
                  <w:rPr>
                    <w:spacing w:val="-2"/>
                  </w:rPr>
                  <w:t>668(XXXI)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664" w:right="2942"/>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42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2023-06-07T08:57:58Z</dcterms:created>
  <dcterms:modified xsi:type="dcterms:W3CDTF">2023-06-07T08:57:58Z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