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5"/>
          <w:u w:val="single"/>
        </w:rPr>
        <w:t> </w:t>
      </w:r>
      <w:r>
        <w:rPr>
          <w:u w:val="single"/>
        </w:rPr>
        <w:t>ON</w:t>
      </w:r>
      <w:r>
        <w:rPr>
          <w:spacing w:val="5"/>
          <w:u w:val="single"/>
        </w:rPr>
        <w:t> </w:t>
      </w:r>
      <w:r>
        <w:rPr>
          <w:u w:val="single"/>
        </w:rPr>
        <w:t>THE</w:t>
      </w:r>
      <w:r>
        <w:rPr>
          <w:spacing w:val="5"/>
          <w:u w:val="single"/>
        </w:rPr>
        <w:t> </w:t>
      </w:r>
      <w:r>
        <w:rPr>
          <w:u w:val="single"/>
        </w:rPr>
        <w:t>COM</w:t>
      </w:r>
      <w:r>
        <w:rPr>
          <w:spacing w:val="-30"/>
          <w:u w:val="single"/>
        </w:rPr>
        <w:t> </w:t>
      </w:r>
      <w:r>
        <w:rPr>
          <w:u w:val="single"/>
        </w:rPr>
        <w:t>ORIAN</w:t>
      </w:r>
      <w:r>
        <w:rPr>
          <w:spacing w:val="5"/>
          <w:u w:val="single"/>
        </w:rPr>
        <w:t> </w:t>
      </w:r>
      <w:r>
        <w:rPr>
          <w:u w:val="single"/>
        </w:rPr>
        <w:t>ISLAND</w:t>
      </w:r>
      <w:r>
        <w:rPr>
          <w:spacing w:val="5"/>
          <w:u w:val="single"/>
        </w:rPr>
        <w:t> </w:t>
      </w:r>
      <w:r>
        <w:rPr>
          <w:u w:val="single"/>
        </w:rPr>
        <w:t>OF</w:t>
      </w:r>
      <w:r>
        <w:rPr>
          <w:spacing w:val="7"/>
          <w:u w:val="single"/>
        </w:rPr>
        <w:t> </w:t>
      </w:r>
      <w:r>
        <w:rPr>
          <w:spacing w:val="-2"/>
          <w:u w:val="single"/>
        </w:rPr>
        <w:t>MAYOTTE</w:t>
      </w:r>
    </w:p>
    <w:p>
      <w:pPr>
        <w:pStyle w:val="BodyText"/>
        <w:rPr>
          <w:b/>
          <w:sz w:val="20"/>
        </w:rPr>
      </w:pPr>
    </w:p>
    <w:p>
      <w:pPr>
        <w:pStyle w:val="BodyText"/>
        <w:spacing w:before="10"/>
        <w:rPr>
          <w:b/>
          <w:sz w:val="16"/>
        </w:rPr>
      </w:pPr>
    </w:p>
    <w:p>
      <w:pPr>
        <w:pStyle w:val="BodyText"/>
        <w:spacing w:line="364" w:lineRule="auto" w:before="96"/>
        <w:ind w:left="171" w:firstLine="676"/>
      </w:pPr>
      <w:r>
        <w:rPr/>
        <w:t>The Council of Ministers of the Organization of African Unity, meeting in its Thirty-First Ordinary Session in Khartoum, Democratic Republic of the Sudan, from 7 to 18 July 1978,</w:t>
      </w:r>
    </w:p>
    <w:p>
      <w:pPr>
        <w:pStyle w:val="BodyText"/>
        <w:spacing w:before="6"/>
        <w:rPr>
          <w:sz w:val="34"/>
        </w:rPr>
      </w:pPr>
    </w:p>
    <w:p>
      <w:pPr>
        <w:pStyle w:val="BodyText"/>
        <w:spacing w:line="369" w:lineRule="auto"/>
        <w:ind w:left="171" w:firstLine="676"/>
      </w:pPr>
      <w:r>
        <w:rPr>
          <w:b/>
          <w:u w:val="single"/>
        </w:rPr>
        <w:t>Taking</w:t>
      </w:r>
      <w:r>
        <w:rPr>
          <w:b/>
          <w:spacing w:val="31"/>
          <w:u w:val="single"/>
        </w:rPr>
        <w:t> </w:t>
      </w:r>
      <w:r>
        <w:rPr>
          <w:b/>
          <w:u w:val="single"/>
        </w:rPr>
        <w:t>note</w:t>
      </w:r>
      <w:r>
        <w:rPr>
          <w:b/>
          <w:spacing w:val="37"/>
        </w:rPr>
        <w:t> </w:t>
      </w:r>
      <w:r>
        <w:rPr/>
        <w:t>of</w:t>
      </w:r>
      <w:r>
        <w:rPr>
          <w:spacing w:val="31"/>
        </w:rPr>
        <w:t> </w:t>
      </w:r>
      <w:r>
        <w:rPr/>
        <w:t>the</w:t>
      </w:r>
      <w:r>
        <w:rPr>
          <w:spacing w:val="31"/>
        </w:rPr>
        <w:t> </w:t>
      </w:r>
      <w:r>
        <w:rPr/>
        <w:t>report</w:t>
      </w:r>
      <w:r>
        <w:rPr>
          <w:spacing w:val="31"/>
        </w:rPr>
        <w:t> </w:t>
      </w:r>
      <w:r>
        <w:rPr/>
        <w:t>of</w:t>
      </w:r>
      <w:r>
        <w:rPr>
          <w:spacing w:val="31"/>
        </w:rPr>
        <w:t> </w:t>
      </w:r>
      <w:r>
        <w:rPr/>
        <w:t>the</w:t>
      </w:r>
      <w:r>
        <w:rPr>
          <w:spacing w:val="31"/>
        </w:rPr>
        <w:t> </w:t>
      </w:r>
      <w:r>
        <w:rPr/>
        <w:t>Secretary-General</w:t>
      </w:r>
      <w:r>
        <w:rPr>
          <w:spacing w:val="22"/>
        </w:rPr>
        <w:t> </w:t>
      </w:r>
      <w:r>
        <w:rPr/>
        <w:t>on</w:t>
      </w:r>
      <w:r>
        <w:rPr>
          <w:spacing w:val="24"/>
        </w:rPr>
        <w:t> </w:t>
      </w:r>
      <w:r>
        <w:rPr/>
        <w:t>the</w:t>
      </w:r>
      <w:r>
        <w:rPr>
          <w:spacing w:val="22"/>
        </w:rPr>
        <w:t> </w:t>
      </w:r>
      <w:r>
        <w:rPr/>
        <w:t>question</w:t>
      </w:r>
      <w:r>
        <w:rPr>
          <w:spacing w:val="24"/>
        </w:rPr>
        <w:t> </w:t>
      </w:r>
      <w:r>
        <w:rPr/>
        <w:t>of</w:t>
      </w:r>
      <w:r>
        <w:rPr>
          <w:spacing w:val="22"/>
        </w:rPr>
        <w:t> </w:t>
      </w:r>
      <w:r>
        <w:rPr/>
        <w:t>the</w:t>
      </w:r>
      <w:r>
        <w:rPr>
          <w:spacing w:val="22"/>
        </w:rPr>
        <w:t> </w:t>
      </w:r>
      <w:r>
        <w:rPr/>
        <w:t>Comorian Island of Mayotte,</w:t>
      </w:r>
    </w:p>
    <w:p>
      <w:pPr>
        <w:pStyle w:val="BodyText"/>
        <w:spacing w:before="8"/>
        <w:rPr>
          <w:sz w:val="33"/>
        </w:rPr>
      </w:pPr>
    </w:p>
    <w:p>
      <w:pPr>
        <w:pStyle w:val="BodyText"/>
        <w:spacing w:line="369" w:lineRule="auto"/>
        <w:ind w:left="171" w:right="307" w:firstLine="676"/>
        <w:jc w:val="both"/>
      </w:pPr>
      <w:r>
        <w:rPr>
          <w:b/>
          <w:u w:val="single"/>
        </w:rPr>
        <w:t>Recalling</w:t>
      </w:r>
      <w:r>
        <w:rPr>
          <w:b/>
        </w:rPr>
        <w:t> </w:t>
      </w:r>
      <w:r>
        <w:rPr/>
        <w:t>that the people of the Republic of the Comoros expressed by an overwhelming majority their will in a referendum held on 21 December 1974, to accece to independence in unity and territorial integrity,</w:t>
      </w:r>
    </w:p>
    <w:p>
      <w:pPr>
        <w:pStyle w:val="BodyText"/>
        <w:rPr>
          <w:sz w:val="34"/>
        </w:rPr>
      </w:pPr>
    </w:p>
    <w:p>
      <w:pPr>
        <w:pStyle w:val="BodyText"/>
        <w:spacing w:line="367" w:lineRule="auto"/>
        <w:ind w:left="171" w:right="309" w:firstLine="676"/>
        <w:jc w:val="both"/>
      </w:pPr>
      <w:r>
        <w:rPr>
          <w:b/>
          <w:u w:val="single"/>
        </w:rPr>
        <w:t>Considering</w:t>
      </w:r>
      <w:r>
        <w:rPr>
          <w:b/>
        </w:rPr>
        <w:t> </w:t>
      </w:r>
      <w:r>
        <w:rPr/>
        <w:t>that the so-called referendum imposed upon the inhabitants of the Comorian Island of Mayotte constitute a blatant aggression against the Comorian State and a violation of its territorial integrity,</w:t>
      </w:r>
    </w:p>
    <w:p>
      <w:pPr>
        <w:pStyle w:val="BodyText"/>
        <w:spacing w:before="3"/>
        <w:rPr>
          <w:sz w:val="34"/>
        </w:rPr>
      </w:pPr>
    </w:p>
    <w:p>
      <w:pPr>
        <w:pStyle w:val="BodyText"/>
        <w:spacing w:line="369" w:lineRule="auto"/>
        <w:ind w:left="171" w:right="303" w:firstLine="676"/>
        <w:jc w:val="both"/>
      </w:pPr>
      <w:r>
        <w:rPr>
          <w:b/>
          <w:u w:val="single"/>
        </w:rPr>
        <w:t>Considering</w:t>
      </w:r>
      <w:r>
        <w:rPr>
          <w:b/>
          <w:spacing w:val="40"/>
        </w:rPr>
        <w:t> </w:t>
      </w:r>
      <w:r>
        <w:rPr/>
        <w:t>that</w:t>
      </w:r>
      <w:r>
        <w:rPr>
          <w:spacing w:val="40"/>
        </w:rPr>
        <w:t> </w:t>
      </w:r>
      <w:r>
        <w:rPr/>
        <w:t>the</w:t>
      </w:r>
      <w:r>
        <w:rPr>
          <w:spacing w:val="40"/>
        </w:rPr>
        <w:t> </w:t>
      </w:r>
      <w:r>
        <w:rPr/>
        <w:t>French</w:t>
      </w:r>
      <w:r>
        <w:rPr>
          <w:spacing w:val="40"/>
        </w:rPr>
        <w:t> </w:t>
      </w:r>
      <w:r>
        <w:rPr/>
        <w:t>occupation</w:t>
      </w:r>
      <w:r>
        <w:rPr>
          <w:spacing w:val="40"/>
        </w:rPr>
        <w:t> </w:t>
      </w:r>
      <w:r>
        <w:rPr/>
        <w:t>of</w:t>
      </w:r>
      <w:r>
        <w:rPr>
          <w:spacing w:val="40"/>
        </w:rPr>
        <w:t> </w:t>
      </w:r>
      <w:r>
        <w:rPr/>
        <w:t>the</w:t>
      </w:r>
      <w:r>
        <w:rPr>
          <w:spacing w:val="40"/>
        </w:rPr>
        <w:t> </w:t>
      </w:r>
      <w:r>
        <w:rPr/>
        <w:t>Comorian</w:t>
      </w:r>
      <w:r>
        <w:rPr>
          <w:spacing w:val="40"/>
        </w:rPr>
        <w:t> </w:t>
      </w:r>
      <w:r>
        <w:rPr/>
        <w:t>Island</w:t>
      </w:r>
      <w:r>
        <w:rPr>
          <w:spacing w:val="40"/>
        </w:rPr>
        <w:t> </w:t>
      </w:r>
      <w:r>
        <w:rPr/>
        <w:t>of</w:t>
      </w:r>
      <w:r>
        <w:rPr>
          <w:spacing w:val="40"/>
        </w:rPr>
        <w:t> </w:t>
      </w:r>
      <w:r>
        <w:rPr/>
        <w:t>Mayotte constitutes a glaring aggression against the Comorian State,</w:t>
      </w:r>
    </w:p>
    <w:p>
      <w:pPr>
        <w:pStyle w:val="BodyText"/>
        <w:spacing w:before="8"/>
        <w:rPr>
          <w:sz w:val="33"/>
        </w:rPr>
      </w:pPr>
    </w:p>
    <w:p>
      <w:pPr>
        <w:pStyle w:val="BodyText"/>
        <w:spacing w:line="369" w:lineRule="auto"/>
        <w:ind w:left="171" w:right="304" w:firstLine="676"/>
        <w:jc w:val="both"/>
      </w:pPr>
      <w:r>
        <w:rPr>
          <w:b/>
          <w:u w:val="single"/>
        </w:rPr>
        <w:t>Considering </w:t>
      </w:r>
      <w:r>
        <w:rPr/>
        <w:t>that this attitude adopted by France constitutes a marked violation of Resolution AHG/16 which ratifies the intangibility of the boundaries inherited from the</w:t>
      </w:r>
      <w:r>
        <w:rPr>
          <w:spacing w:val="80"/>
        </w:rPr>
        <w:t> </w:t>
      </w:r>
      <w:r>
        <w:rPr/>
        <w:t>colonial administration,</w:t>
      </w:r>
    </w:p>
    <w:p>
      <w:pPr>
        <w:pStyle w:val="BodyText"/>
        <w:spacing w:before="7"/>
        <w:rPr>
          <w:sz w:val="33"/>
        </w:rPr>
      </w:pPr>
    </w:p>
    <w:p>
      <w:pPr>
        <w:pStyle w:val="BodyText"/>
        <w:spacing w:line="374" w:lineRule="auto"/>
        <w:ind w:left="171" w:right="308" w:firstLine="676"/>
        <w:jc w:val="both"/>
      </w:pPr>
      <w:r>
        <w:rPr>
          <w:b/>
          <w:u w:val="single"/>
        </w:rPr>
        <w:t>Considering</w:t>
      </w:r>
      <w:r>
        <w:rPr>
          <w:b/>
        </w:rPr>
        <w:t> </w:t>
      </w:r>
      <w:r>
        <w:rPr/>
        <w:t>that the establishment of military bases by France in the Indian Ocean constitutes a flagrant aggression against the independent States of African and Asia,</w:t>
      </w:r>
    </w:p>
    <w:p>
      <w:pPr>
        <w:pStyle w:val="BodyText"/>
        <w:spacing w:before="9"/>
        <w:rPr>
          <w:sz w:val="32"/>
        </w:rPr>
      </w:pPr>
    </w:p>
    <w:p>
      <w:pPr>
        <w:pStyle w:val="BodyText"/>
        <w:spacing w:line="372" w:lineRule="auto"/>
        <w:ind w:left="171" w:right="315" w:firstLine="676"/>
        <w:jc w:val="both"/>
      </w:pPr>
      <w:r>
        <w:rPr>
          <w:b/>
          <w:u w:val="single"/>
        </w:rPr>
        <w:t>Considering</w:t>
      </w:r>
      <w:r>
        <w:rPr>
          <w:b/>
        </w:rPr>
        <w:t> </w:t>
      </w:r>
      <w:r>
        <w:rPr/>
        <w:t>moreover that the criminal aggression perpetrated against the Comorian State, following the mercenaries, invasion of that country, constitutes a new encroachment on the sovereignty of this state, a threat to the States of the region and a challenge to the OAU,</w:t>
      </w:r>
    </w:p>
    <w:p>
      <w:pPr>
        <w:pStyle w:val="BodyText"/>
        <w:spacing w:before="4"/>
        <w:rPr>
          <w:sz w:val="33"/>
        </w:rPr>
      </w:pPr>
    </w:p>
    <w:p>
      <w:pPr>
        <w:pStyle w:val="BodyText"/>
        <w:spacing w:line="364" w:lineRule="auto" w:before="1"/>
        <w:ind w:left="171" w:right="305" w:firstLine="676"/>
        <w:jc w:val="both"/>
      </w:pPr>
      <w:r>
        <w:rPr>
          <w:b/>
          <w:u w:val="single"/>
        </w:rPr>
        <w:t>Recalling</w:t>
      </w:r>
      <w:r>
        <w:rPr>
          <w:b/>
          <w:spacing w:val="40"/>
        </w:rPr>
        <w:t> </w:t>
      </w:r>
      <w:r>
        <w:rPr/>
        <w:t>the relevant resolutions of the OAU, the non-aligned countries and the</w:t>
      </w:r>
      <w:r>
        <w:rPr>
          <w:spacing w:val="40"/>
        </w:rPr>
        <w:t> </w:t>
      </w:r>
      <w:r>
        <w:rPr/>
        <w:t>United Nations:</w:t>
      </w:r>
    </w:p>
    <w:p>
      <w:pPr>
        <w:spacing w:after="0" w:line="364" w:lineRule="auto"/>
        <w:jc w:val="both"/>
        <w:sectPr>
          <w:headerReference w:type="default" r:id="rId5"/>
          <w:type w:val="continuous"/>
          <w:pgSz w:w="12240" w:h="15840"/>
          <w:pgMar w:header="701" w:footer="0" w:top="1260" w:bottom="280" w:left="1720" w:right="1560"/>
          <w:pgNumType w:start="1"/>
        </w:sectPr>
      </w:pPr>
    </w:p>
    <w:p>
      <w:pPr>
        <w:pStyle w:val="ListParagraph"/>
        <w:numPr>
          <w:ilvl w:val="0"/>
          <w:numId w:val="1"/>
        </w:numPr>
        <w:tabs>
          <w:tab w:pos="1185" w:val="left" w:leader="none"/>
        </w:tabs>
        <w:spacing w:line="369" w:lineRule="auto" w:before="85" w:after="0"/>
        <w:ind w:left="1184" w:right="307" w:hanging="336"/>
        <w:jc w:val="both"/>
        <w:rPr>
          <w:sz w:val="22"/>
        </w:rPr>
      </w:pPr>
      <w:r>
        <w:rPr>
          <w:b/>
          <w:sz w:val="22"/>
        </w:rPr>
        <w:t>CONDEMNS </w:t>
      </w:r>
      <w:r>
        <w:rPr>
          <w:sz w:val="22"/>
        </w:rPr>
        <w:t>the so-called referendum staged in Mayotte on the 8 June 1976 and 11 April 1976 which it considers null and void and REJCTS at the outset all forms</w:t>
      </w:r>
      <w:r>
        <w:rPr>
          <w:spacing w:val="40"/>
          <w:sz w:val="22"/>
        </w:rPr>
        <w:t> </w:t>
      </w:r>
      <w:r>
        <w:rPr>
          <w:sz w:val="22"/>
        </w:rPr>
        <w:t>of referendum of consultations which might be subsequently organized, or any</w:t>
      </w:r>
      <w:r>
        <w:rPr>
          <w:spacing w:val="80"/>
          <w:w w:val="150"/>
          <w:sz w:val="22"/>
        </w:rPr>
        <w:t> </w:t>
      </w:r>
      <w:r>
        <w:rPr>
          <w:sz w:val="22"/>
        </w:rPr>
        <w:t>other French initiative aiming at conferring a legitimate character to French colonialist presence in Mayotte in any form, whether direct of indirect, or in any other part of the Republic of the Comoros;</w:t>
      </w:r>
    </w:p>
    <w:p>
      <w:pPr>
        <w:pStyle w:val="BodyText"/>
        <w:spacing w:before="5"/>
        <w:rPr>
          <w:sz w:val="33"/>
        </w:rPr>
      </w:pPr>
    </w:p>
    <w:p>
      <w:pPr>
        <w:pStyle w:val="ListParagraph"/>
        <w:numPr>
          <w:ilvl w:val="0"/>
          <w:numId w:val="1"/>
        </w:numPr>
        <w:tabs>
          <w:tab w:pos="1185" w:val="left" w:leader="none"/>
        </w:tabs>
        <w:spacing w:line="369" w:lineRule="auto" w:before="0" w:after="0"/>
        <w:ind w:left="1184" w:right="309" w:hanging="336"/>
        <w:jc w:val="both"/>
        <w:rPr>
          <w:sz w:val="22"/>
        </w:rPr>
      </w:pPr>
      <w:r>
        <w:rPr>
          <w:b/>
          <w:sz w:val="22"/>
        </w:rPr>
        <w:t>STRONGLY CONDEMNS </w:t>
      </w:r>
      <w:r>
        <w:rPr>
          <w:sz w:val="22"/>
        </w:rPr>
        <w:t>the illegal French occupation of the Comorian Island of Mayotte, which constitutes an aggression aiming at undermining the national unity, territorial integrity and sovereignty of the Republic of the Comoros, as well</w:t>
      </w:r>
      <w:r>
        <w:rPr>
          <w:spacing w:val="80"/>
          <w:sz w:val="22"/>
        </w:rPr>
        <w:t> </w:t>
      </w:r>
      <w:r>
        <w:rPr>
          <w:sz w:val="22"/>
        </w:rPr>
        <w:t>as the independence and sovereignty of the whole of Africa;</w:t>
      </w:r>
    </w:p>
    <w:p>
      <w:pPr>
        <w:pStyle w:val="BodyText"/>
        <w:spacing w:before="11"/>
        <w:rPr>
          <w:sz w:val="33"/>
        </w:rPr>
      </w:pPr>
    </w:p>
    <w:p>
      <w:pPr>
        <w:pStyle w:val="ListParagraph"/>
        <w:numPr>
          <w:ilvl w:val="0"/>
          <w:numId w:val="1"/>
        </w:numPr>
        <w:tabs>
          <w:tab w:pos="1185" w:val="left" w:leader="none"/>
        </w:tabs>
        <w:spacing w:line="367" w:lineRule="auto" w:before="0" w:after="0"/>
        <w:ind w:left="1184" w:right="305" w:hanging="336"/>
        <w:jc w:val="both"/>
        <w:rPr>
          <w:sz w:val="22"/>
        </w:rPr>
      </w:pPr>
      <w:r>
        <w:rPr>
          <w:b/>
          <w:sz w:val="22"/>
        </w:rPr>
        <w:t>CONDEMNS </w:t>
      </w:r>
      <w:r>
        <w:rPr>
          <w:sz w:val="22"/>
        </w:rPr>
        <w:t>the criminal aggression perpetrated by mercenaries against the Republic of the Comoros and DENOUNCES any country in collusion with that </w:t>
      </w:r>
      <w:r>
        <w:rPr>
          <w:spacing w:val="-2"/>
          <w:sz w:val="22"/>
        </w:rPr>
        <w:t>aggression;</w:t>
      </w:r>
    </w:p>
    <w:p>
      <w:pPr>
        <w:pStyle w:val="BodyText"/>
        <w:spacing w:before="3"/>
        <w:rPr>
          <w:sz w:val="34"/>
        </w:rPr>
      </w:pPr>
    </w:p>
    <w:p>
      <w:pPr>
        <w:pStyle w:val="ListParagraph"/>
        <w:numPr>
          <w:ilvl w:val="0"/>
          <w:numId w:val="1"/>
        </w:numPr>
        <w:tabs>
          <w:tab w:pos="1185" w:val="left" w:leader="none"/>
        </w:tabs>
        <w:spacing w:line="369" w:lineRule="auto" w:before="0" w:after="0"/>
        <w:ind w:left="1184" w:right="303" w:hanging="336"/>
        <w:jc w:val="both"/>
        <w:rPr>
          <w:sz w:val="22"/>
        </w:rPr>
      </w:pPr>
      <w:r>
        <w:rPr>
          <w:b/>
          <w:sz w:val="22"/>
        </w:rPr>
        <w:t>DEMAND </w:t>
      </w:r>
      <w:r>
        <w:rPr>
          <w:sz w:val="22"/>
        </w:rPr>
        <w:t>the immediate and unconditional withdrawal of France from the Comorian Island of Mayotte, which is an integral part of the Republic of the </w:t>
      </w:r>
      <w:r>
        <w:rPr>
          <w:spacing w:val="-2"/>
          <w:sz w:val="22"/>
        </w:rPr>
        <w:t>Comoros;</w:t>
      </w:r>
    </w:p>
    <w:p>
      <w:pPr>
        <w:pStyle w:val="BodyText"/>
        <w:spacing w:before="7"/>
        <w:rPr>
          <w:sz w:val="33"/>
        </w:rPr>
      </w:pPr>
    </w:p>
    <w:p>
      <w:pPr>
        <w:pStyle w:val="ListParagraph"/>
        <w:numPr>
          <w:ilvl w:val="0"/>
          <w:numId w:val="1"/>
        </w:numPr>
        <w:tabs>
          <w:tab w:pos="1185" w:val="left" w:leader="none"/>
        </w:tabs>
        <w:spacing w:line="369" w:lineRule="auto" w:before="0" w:after="0"/>
        <w:ind w:left="1184" w:right="304" w:hanging="336"/>
        <w:jc w:val="both"/>
        <w:rPr>
          <w:sz w:val="22"/>
        </w:rPr>
      </w:pPr>
      <w:r>
        <w:rPr>
          <w:b/>
          <w:sz w:val="22"/>
        </w:rPr>
        <w:t>REAFFIRMS</w:t>
      </w:r>
      <w:r>
        <w:rPr>
          <w:b/>
          <w:spacing w:val="40"/>
          <w:sz w:val="22"/>
        </w:rPr>
        <w:t> </w:t>
      </w:r>
      <w:r>
        <w:rPr>
          <w:sz w:val="22"/>
        </w:rPr>
        <w:t>its</w:t>
      </w:r>
      <w:r>
        <w:rPr>
          <w:spacing w:val="40"/>
          <w:sz w:val="22"/>
        </w:rPr>
        <w:t> </w:t>
      </w:r>
      <w:r>
        <w:rPr>
          <w:sz w:val="22"/>
        </w:rPr>
        <w:t>full</w:t>
      </w:r>
      <w:r>
        <w:rPr>
          <w:spacing w:val="40"/>
          <w:sz w:val="22"/>
        </w:rPr>
        <w:t> </w:t>
      </w:r>
      <w:r>
        <w:rPr>
          <w:sz w:val="22"/>
        </w:rPr>
        <w:t>solidarity</w:t>
      </w:r>
      <w:r>
        <w:rPr>
          <w:spacing w:val="40"/>
          <w:sz w:val="22"/>
        </w:rPr>
        <w:t> </w:t>
      </w:r>
      <w:r>
        <w:rPr>
          <w:sz w:val="22"/>
        </w:rPr>
        <w:t>with</w:t>
      </w:r>
      <w:r>
        <w:rPr>
          <w:spacing w:val="40"/>
          <w:sz w:val="22"/>
        </w:rPr>
        <w:t> </w:t>
      </w:r>
      <w:r>
        <w:rPr>
          <w:sz w:val="22"/>
        </w:rPr>
        <w:t>the</w:t>
      </w:r>
      <w:r>
        <w:rPr>
          <w:spacing w:val="40"/>
          <w:sz w:val="22"/>
        </w:rPr>
        <w:t> </w:t>
      </w:r>
      <w:r>
        <w:rPr>
          <w:sz w:val="22"/>
        </w:rPr>
        <w:t>people</w:t>
      </w:r>
      <w:r>
        <w:rPr>
          <w:spacing w:val="40"/>
          <w:sz w:val="22"/>
        </w:rPr>
        <w:t> </w:t>
      </w:r>
      <w:r>
        <w:rPr>
          <w:sz w:val="22"/>
        </w:rPr>
        <w:t>of</w:t>
      </w:r>
      <w:r>
        <w:rPr>
          <w:spacing w:val="40"/>
          <w:sz w:val="22"/>
        </w:rPr>
        <w:t> </w:t>
      </w:r>
      <w:r>
        <w:rPr>
          <w:sz w:val="22"/>
        </w:rPr>
        <w:t>the</w:t>
      </w:r>
      <w:r>
        <w:rPr>
          <w:spacing w:val="40"/>
          <w:sz w:val="22"/>
        </w:rPr>
        <w:t> </w:t>
      </w:r>
      <w:r>
        <w:rPr>
          <w:sz w:val="22"/>
        </w:rPr>
        <w:t>Comoros,</w:t>
      </w:r>
      <w:r>
        <w:rPr>
          <w:spacing w:val="40"/>
          <w:sz w:val="22"/>
        </w:rPr>
        <w:t> </w:t>
      </w:r>
      <w:r>
        <w:rPr>
          <w:sz w:val="22"/>
        </w:rPr>
        <w:t>in</w:t>
      </w:r>
      <w:r>
        <w:rPr>
          <w:spacing w:val="40"/>
          <w:sz w:val="22"/>
        </w:rPr>
        <w:t> </w:t>
      </w:r>
      <w:r>
        <w:rPr>
          <w:sz w:val="22"/>
        </w:rPr>
        <w:t>their legitimate struggle for the real and total liberation of their national territory;</w:t>
      </w:r>
    </w:p>
    <w:p>
      <w:pPr>
        <w:pStyle w:val="BodyText"/>
        <w:spacing w:before="8"/>
        <w:rPr>
          <w:sz w:val="33"/>
        </w:rPr>
      </w:pPr>
    </w:p>
    <w:p>
      <w:pPr>
        <w:pStyle w:val="ListParagraph"/>
        <w:numPr>
          <w:ilvl w:val="0"/>
          <w:numId w:val="1"/>
        </w:numPr>
        <w:tabs>
          <w:tab w:pos="1185" w:val="left" w:leader="none"/>
        </w:tabs>
        <w:spacing w:line="369" w:lineRule="auto" w:before="0" w:after="0"/>
        <w:ind w:left="1184" w:right="304" w:hanging="336"/>
        <w:jc w:val="both"/>
        <w:rPr>
          <w:sz w:val="22"/>
        </w:rPr>
      </w:pPr>
      <w:r>
        <w:rPr>
          <w:b/>
          <w:sz w:val="22"/>
        </w:rPr>
        <w:t>CALLS</w:t>
      </w:r>
      <w:r>
        <w:rPr>
          <w:b/>
          <w:spacing w:val="40"/>
          <w:sz w:val="22"/>
        </w:rPr>
        <w:t> </w:t>
      </w:r>
      <w:r>
        <w:rPr>
          <w:b/>
          <w:sz w:val="22"/>
        </w:rPr>
        <w:t>ON</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and</w:t>
      </w:r>
      <w:r>
        <w:rPr>
          <w:spacing w:val="40"/>
          <w:sz w:val="22"/>
        </w:rPr>
        <w:t> </w:t>
      </w:r>
      <w:r>
        <w:rPr>
          <w:sz w:val="22"/>
        </w:rPr>
        <w:t>on</w:t>
      </w:r>
      <w:r>
        <w:rPr>
          <w:spacing w:val="40"/>
          <w:sz w:val="22"/>
        </w:rPr>
        <w:t> </w:t>
      </w:r>
      <w:r>
        <w:rPr>
          <w:sz w:val="22"/>
        </w:rPr>
        <w:t>the</w:t>
      </w:r>
      <w:r>
        <w:rPr>
          <w:spacing w:val="40"/>
          <w:sz w:val="22"/>
        </w:rPr>
        <w:t> </w:t>
      </w:r>
      <w:r>
        <w:rPr>
          <w:sz w:val="22"/>
        </w:rPr>
        <w:t>African</w:t>
      </w:r>
      <w:r>
        <w:rPr>
          <w:spacing w:val="40"/>
          <w:sz w:val="22"/>
        </w:rPr>
        <w:t> </w:t>
      </w:r>
      <w:r>
        <w:rPr>
          <w:sz w:val="22"/>
        </w:rPr>
        <w:t>Group</w:t>
      </w:r>
      <w:r>
        <w:rPr>
          <w:spacing w:val="40"/>
          <w:sz w:val="22"/>
        </w:rPr>
        <w:t> </w:t>
      </w:r>
      <w:r>
        <w:rPr>
          <w:sz w:val="22"/>
        </w:rPr>
        <w:t>at the United Nations, to see to that, pending the evacuation of that territory by</w:t>
      </w:r>
      <w:r>
        <w:rPr>
          <w:spacing w:val="80"/>
          <w:w w:val="150"/>
          <w:sz w:val="22"/>
        </w:rPr>
        <w:t> </w:t>
      </w:r>
      <w:r>
        <w:rPr>
          <w:sz w:val="22"/>
        </w:rPr>
        <w:t>France, the question of the Comorian Island of Mayotte is included as a permanent item on the Agenda of the United Nations, the OAU, the Non-Aligned, the League</w:t>
      </w:r>
      <w:r>
        <w:rPr>
          <w:spacing w:val="40"/>
          <w:sz w:val="22"/>
        </w:rPr>
        <w:t> </w:t>
      </w:r>
      <w:r>
        <w:rPr>
          <w:sz w:val="22"/>
        </w:rPr>
        <w:t>of Arab States and on that of any other International Conference in which African States will participate;</w:t>
      </w:r>
    </w:p>
    <w:p>
      <w:pPr>
        <w:pStyle w:val="BodyText"/>
        <w:spacing w:before="9"/>
        <w:rPr>
          <w:sz w:val="33"/>
        </w:rPr>
      </w:pPr>
    </w:p>
    <w:p>
      <w:pPr>
        <w:pStyle w:val="ListParagraph"/>
        <w:numPr>
          <w:ilvl w:val="0"/>
          <w:numId w:val="1"/>
        </w:numPr>
        <w:tabs>
          <w:tab w:pos="1185" w:val="left" w:leader="none"/>
        </w:tabs>
        <w:spacing w:line="364" w:lineRule="auto" w:before="0" w:after="0"/>
        <w:ind w:left="1184" w:right="305" w:hanging="336"/>
        <w:jc w:val="both"/>
        <w:rPr>
          <w:sz w:val="22"/>
        </w:rPr>
      </w:pPr>
      <w:r>
        <w:rPr>
          <w:b/>
          <w:sz w:val="22"/>
        </w:rPr>
        <w:t>REQUESTS</w:t>
      </w:r>
      <w:r>
        <w:rPr>
          <w:b/>
          <w:spacing w:val="40"/>
          <w:sz w:val="22"/>
        </w:rPr>
        <w:t> </w:t>
      </w:r>
      <w:r>
        <w:rPr>
          <w:sz w:val="22"/>
        </w:rPr>
        <w:t>the</w:t>
      </w:r>
      <w:r>
        <w:rPr>
          <w:spacing w:val="40"/>
          <w:sz w:val="22"/>
        </w:rPr>
        <w:t> </w:t>
      </w:r>
      <w:r>
        <w:rPr>
          <w:sz w:val="22"/>
        </w:rPr>
        <w:t>OAU</w:t>
      </w:r>
      <w:r>
        <w:rPr>
          <w:spacing w:val="40"/>
          <w:sz w:val="22"/>
        </w:rPr>
        <w:t> </w:t>
      </w:r>
      <w:r>
        <w:rPr>
          <w:sz w:val="22"/>
        </w:rPr>
        <w:t>Administrative</w:t>
      </w:r>
      <w:r>
        <w:rPr>
          <w:spacing w:val="40"/>
          <w:sz w:val="22"/>
        </w:rPr>
        <w:t> </w:t>
      </w:r>
      <w:r>
        <w:rPr>
          <w:sz w:val="22"/>
        </w:rPr>
        <w:t>Secretary-General</w:t>
      </w:r>
      <w:r>
        <w:rPr>
          <w:spacing w:val="40"/>
          <w:sz w:val="22"/>
        </w:rPr>
        <w:t> </w:t>
      </w:r>
      <w:r>
        <w:rPr>
          <w:sz w:val="22"/>
        </w:rPr>
        <w:t>to</w:t>
      </w:r>
      <w:r>
        <w:rPr>
          <w:spacing w:val="40"/>
          <w:sz w:val="22"/>
        </w:rPr>
        <w:t> </w:t>
      </w:r>
      <w:r>
        <w:rPr>
          <w:sz w:val="22"/>
        </w:rPr>
        <w:t>submit</w:t>
      </w:r>
      <w:r>
        <w:rPr>
          <w:spacing w:val="40"/>
          <w:sz w:val="22"/>
        </w:rPr>
        <w:t> </w:t>
      </w:r>
      <w:r>
        <w:rPr>
          <w:sz w:val="22"/>
        </w:rPr>
        <w:t>a</w:t>
      </w:r>
      <w:r>
        <w:rPr>
          <w:spacing w:val="40"/>
          <w:sz w:val="22"/>
        </w:rPr>
        <w:t> </w:t>
      </w:r>
      <w:r>
        <w:rPr>
          <w:sz w:val="22"/>
        </w:rPr>
        <w:t>report</w:t>
      </w:r>
      <w:r>
        <w:rPr>
          <w:spacing w:val="40"/>
          <w:sz w:val="22"/>
        </w:rPr>
        <w:t> </w:t>
      </w:r>
      <w:r>
        <w:rPr>
          <w:sz w:val="22"/>
        </w:rPr>
        <w:t>on this question to the next Session of the AOU Council of Ministers.</w:t>
      </w:r>
    </w:p>
    <w:p>
      <w:pPr>
        <w:pStyle w:val="BodyText"/>
        <w:spacing w:before="6"/>
        <w:rPr>
          <w:sz w:val="34"/>
        </w:rPr>
      </w:pPr>
    </w:p>
    <w:p>
      <w:pPr>
        <w:pStyle w:val="BodyText"/>
        <w:tabs>
          <w:tab w:pos="2878" w:val="left" w:leader="none"/>
          <w:tab w:pos="5700" w:val="left" w:leader="none"/>
          <w:tab w:pos="8173" w:val="left" w:leader="none"/>
        </w:tabs>
        <w:spacing w:line="369" w:lineRule="auto" w:before="1"/>
        <w:ind w:left="2878" w:right="300" w:hanging="1695"/>
      </w:pPr>
      <w:r>
        <w:rPr>
          <w:spacing w:val="-2"/>
        </w:rPr>
        <w:t>Reservations:</w:t>
      </w:r>
      <w:r>
        <w:rPr/>
        <w:tab/>
        <w:t>Central African Empire, Chad, Egypt, Mauritania, Mauritius, </w:t>
      </w:r>
      <w:r>
        <w:rPr>
          <w:spacing w:val="-2"/>
        </w:rPr>
        <w:t>Morocco,</w:t>
      </w:r>
      <w:r>
        <w:rPr/>
        <w:tab/>
      </w:r>
      <w:r>
        <w:rPr>
          <w:spacing w:val="-2"/>
        </w:rPr>
        <w:t>Togo,</w:t>
      </w:r>
      <w:r>
        <w:rPr/>
        <w:tab/>
      </w:r>
      <w:r>
        <w:rPr>
          <w:spacing w:val="-2"/>
        </w:rPr>
        <w:t>Zaire</w:t>
      </w:r>
    </w:p>
    <w:sectPr>
      <w:pgSz w:w="12240" w:h="15840"/>
      <w:pgMar w:header="701" w:footer="0" w:top="1260" w:bottom="280" w:left="172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1.160004pt;margin-top:34.068241pt;width:98.65pt;height:14.5pt;mso-position-horizontal-relative:page;mso-position-vertical-relative:page;z-index:-15763968" type="#_x0000_t202" id="docshape1" filled="false" stroked="false">
          <v:textbox inset="0,0,0,0">
            <w:txbxContent>
              <w:p>
                <w:pPr>
                  <w:pStyle w:val="BodyText"/>
                  <w:spacing w:before="15"/>
                  <w:ind w:left="20"/>
                </w:pPr>
                <w:r>
                  <w:rPr/>
                  <w:t>CM/Res.</w:t>
                </w:r>
                <w:r>
                  <w:rPr>
                    <w:spacing w:val="26"/>
                  </w:rPr>
                  <w:t> </w:t>
                </w:r>
                <w:r>
                  <w:rPr>
                    <w:spacing w:val="-2"/>
                  </w:rPr>
                  <w:t>678(XXXI)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58" w:hanging="337"/>
      </w:pPr>
      <w:rPr>
        <w:rFonts w:hint="default"/>
        <w:lang w:val="en-US" w:eastAsia="en-US" w:bidi="ar-SA"/>
      </w:rPr>
    </w:lvl>
    <w:lvl w:ilvl="2">
      <w:start w:val="0"/>
      <w:numFmt w:val="bullet"/>
      <w:lvlText w:val="•"/>
      <w:lvlJc w:val="left"/>
      <w:pPr>
        <w:ind w:left="2736" w:hanging="337"/>
      </w:pPr>
      <w:rPr>
        <w:rFonts w:hint="default"/>
        <w:lang w:val="en-US" w:eastAsia="en-US" w:bidi="ar-SA"/>
      </w:rPr>
    </w:lvl>
    <w:lvl w:ilvl="3">
      <w:start w:val="0"/>
      <w:numFmt w:val="bullet"/>
      <w:lvlText w:val="•"/>
      <w:lvlJc w:val="left"/>
      <w:pPr>
        <w:ind w:left="3514" w:hanging="337"/>
      </w:pPr>
      <w:rPr>
        <w:rFonts w:hint="default"/>
        <w:lang w:val="en-US" w:eastAsia="en-US" w:bidi="ar-SA"/>
      </w:rPr>
    </w:lvl>
    <w:lvl w:ilvl="4">
      <w:start w:val="0"/>
      <w:numFmt w:val="bullet"/>
      <w:lvlText w:val="•"/>
      <w:lvlJc w:val="left"/>
      <w:pPr>
        <w:ind w:left="4292" w:hanging="337"/>
      </w:pPr>
      <w:rPr>
        <w:rFonts w:hint="default"/>
        <w:lang w:val="en-US" w:eastAsia="en-US" w:bidi="ar-SA"/>
      </w:rPr>
    </w:lvl>
    <w:lvl w:ilvl="5">
      <w:start w:val="0"/>
      <w:numFmt w:val="bullet"/>
      <w:lvlText w:val="•"/>
      <w:lvlJc w:val="left"/>
      <w:pPr>
        <w:ind w:left="5070" w:hanging="337"/>
      </w:pPr>
      <w:rPr>
        <w:rFonts w:hint="default"/>
        <w:lang w:val="en-US" w:eastAsia="en-US" w:bidi="ar-SA"/>
      </w:rPr>
    </w:lvl>
    <w:lvl w:ilvl="6">
      <w:start w:val="0"/>
      <w:numFmt w:val="bullet"/>
      <w:lvlText w:val="•"/>
      <w:lvlJc w:val="left"/>
      <w:pPr>
        <w:ind w:left="5848" w:hanging="337"/>
      </w:pPr>
      <w:rPr>
        <w:rFonts w:hint="default"/>
        <w:lang w:val="en-US" w:eastAsia="en-US" w:bidi="ar-SA"/>
      </w:rPr>
    </w:lvl>
    <w:lvl w:ilvl="7">
      <w:start w:val="0"/>
      <w:numFmt w:val="bullet"/>
      <w:lvlText w:val="•"/>
      <w:lvlJc w:val="left"/>
      <w:pPr>
        <w:ind w:left="6626" w:hanging="337"/>
      </w:pPr>
      <w:rPr>
        <w:rFonts w:hint="default"/>
        <w:lang w:val="en-US" w:eastAsia="en-US" w:bidi="ar-SA"/>
      </w:rPr>
    </w:lvl>
    <w:lvl w:ilvl="8">
      <w:start w:val="0"/>
      <w:numFmt w:val="bullet"/>
      <w:lvlText w:val="•"/>
      <w:lvlJc w:val="left"/>
      <w:pPr>
        <w:ind w:left="7404"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1289" w:right="1450"/>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30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2023-06-07T08:58:27Z</dcterms:created>
  <dcterms:modified xsi:type="dcterms:W3CDTF">2023-06-07T08:58:27Z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