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9"/>
          <w:u w:val="single"/>
        </w:rPr>
        <w:t> </w:t>
      </w:r>
      <w:r>
        <w:rPr>
          <w:u w:val="single"/>
        </w:rPr>
        <w:t>ON</w:t>
      </w:r>
      <w:r>
        <w:rPr>
          <w:spacing w:val="9"/>
          <w:u w:val="single"/>
        </w:rPr>
        <w:t> </w:t>
      </w:r>
      <w:r>
        <w:rPr>
          <w:spacing w:val="-2"/>
          <w:u w:val="single"/>
        </w:rPr>
        <w:t>NAMIBIA</w:t>
      </w:r>
    </w:p>
    <w:p>
      <w:pPr>
        <w:pStyle w:val="BodyText"/>
        <w:rPr>
          <w:b/>
          <w:sz w:val="20"/>
        </w:rPr>
      </w:pPr>
    </w:p>
    <w:p>
      <w:pPr>
        <w:pStyle w:val="BodyText"/>
        <w:spacing w:before="3"/>
        <w:rPr>
          <w:b/>
          <w:sz w:val="17"/>
        </w:rPr>
      </w:pPr>
    </w:p>
    <w:p>
      <w:pPr>
        <w:pStyle w:val="BodyText"/>
        <w:spacing w:line="369"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7"/>
        <w:rPr>
          <w:sz w:val="33"/>
        </w:rPr>
      </w:pPr>
    </w:p>
    <w:p>
      <w:pPr>
        <w:pStyle w:val="BodyText"/>
        <w:spacing w:line="369" w:lineRule="auto"/>
        <w:ind w:left="171" w:right="300" w:firstLine="676"/>
        <w:jc w:val="both"/>
      </w:pPr>
      <w:r>
        <w:rPr>
          <w:b/>
          <w:u w:val="single"/>
        </w:rPr>
        <w:t>Convinced</w:t>
      </w:r>
      <w:r>
        <w:rPr>
          <w:b/>
          <w:spacing w:val="40"/>
        </w:rPr>
        <w:t> </w:t>
      </w:r>
      <w:r>
        <w:rPr/>
        <w:t>that the advanced stage reached in the struggle for independence in</w:t>
      </w:r>
      <w:r>
        <w:rPr>
          <w:spacing w:val="80"/>
        </w:rPr>
        <w:t> </w:t>
      </w:r>
      <w:r>
        <w:rPr/>
        <w:t>Namibia has prompted the South African racist regime to embark on a sinister programme designed to rob the Namibian people on their imminent victory;</w:t>
      </w:r>
    </w:p>
    <w:p>
      <w:pPr>
        <w:pStyle w:val="BodyText"/>
        <w:spacing w:before="7"/>
        <w:rPr>
          <w:sz w:val="33"/>
        </w:rPr>
      </w:pPr>
    </w:p>
    <w:p>
      <w:pPr>
        <w:pStyle w:val="BodyText"/>
        <w:spacing w:line="369" w:lineRule="auto"/>
        <w:ind w:left="171" w:right="319" w:firstLine="676"/>
        <w:jc w:val="both"/>
      </w:pPr>
      <w:r>
        <w:rPr>
          <w:b/>
          <w:u w:val="single"/>
        </w:rPr>
        <w:t>Gravely concerned</w:t>
      </w:r>
      <w:r>
        <w:rPr>
          <w:b/>
        </w:rPr>
        <w:t> </w:t>
      </w:r>
      <w:r>
        <w:rPr/>
        <w:t>that the South African racist regime is continuing to promote its puppets and quisling of the Turnhalle tribal gathering as alternative to SWAPO, the authentic representative of the people of Namibia, which is fighting for the genuine national and social liberation of Namibia as a united political entity;</w:t>
      </w:r>
    </w:p>
    <w:p>
      <w:pPr>
        <w:pStyle w:val="BodyText"/>
        <w:rPr>
          <w:sz w:val="34"/>
        </w:rPr>
      </w:pPr>
    </w:p>
    <w:p>
      <w:pPr>
        <w:pStyle w:val="BodyText"/>
        <w:spacing w:line="367" w:lineRule="auto"/>
        <w:ind w:left="171" w:right="307" w:firstLine="676"/>
        <w:jc w:val="both"/>
      </w:pPr>
      <w:r>
        <w:rPr>
          <w:b/>
          <w:u w:val="single"/>
        </w:rPr>
        <w:t>Condemning</w:t>
      </w:r>
      <w:r>
        <w:rPr>
          <w:b/>
          <w:spacing w:val="40"/>
        </w:rPr>
        <w:t> </w:t>
      </w:r>
      <w:r>
        <w:rPr/>
        <w:t>the South Africa’s continued intransigence and inflexibility by refusing</w:t>
      </w:r>
      <w:r>
        <w:rPr>
          <w:spacing w:val="40"/>
        </w:rPr>
        <w:t> </w:t>
      </w:r>
      <w:r>
        <w:rPr/>
        <w:t>to</w:t>
      </w:r>
      <w:r>
        <w:rPr>
          <w:spacing w:val="33"/>
        </w:rPr>
        <w:t> </w:t>
      </w:r>
      <w:r>
        <w:rPr/>
        <w:t>demonstrate</w:t>
      </w:r>
      <w:r>
        <w:rPr>
          <w:spacing w:val="32"/>
        </w:rPr>
        <w:t> </w:t>
      </w:r>
      <w:r>
        <w:rPr/>
        <w:t>any</w:t>
      </w:r>
      <w:r>
        <w:rPr>
          <w:spacing w:val="32"/>
        </w:rPr>
        <w:t> </w:t>
      </w:r>
      <w:r>
        <w:rPr/>
        <w:t>good</w:t>
      </w:r>
      <w:r>
        <w:rPr>
          <w:spacing w:val="33"/>
        </w:rPr>
        <w:t> </w:t>
      </w:r>
      <w:r>
        <w:rPr/>
        <w:t>faith</w:t>
      </w:r>
      <w:r>
        <w:rPr>
          <w:spacing w:val="29"/>
        </w:rPr>
        <w:t> </w:t>
      </w:r>
      <w:r>
        <w:rPr/>
        <w:t>or</w:t>
      </w:r>
      <w:r>
        <w:rPr>
          <w:spacing w:val="28"/>
        </w:rPr>
        <w:t> </w:t>
      </w:r>
      <w:r>
        <w:rPr/>
        <w:t>willingness</w:t>
      </w:r>
      <w:r>
        <w:rPr>
          <w:spacing w:val="28"/>
        </w:rPr>
        <w:t> </w:t>
      </w:r>
      <w:r>
        <w:rPr/>
        <w:t>to</w:t>
      </w:r>
      <w:r>
        <w:rPr>
          <w:spacing w:val="28"/>
        </w:rPr>
        <w:t> </w:t>
      </w:r>
      <w:r>
        <w:rPr/>
        <w:t>enter</w:t>
      </w:r>
      <w:r>
        <w:rPr>
          <w:spacing w:val="28"/>
        </w:rPr>
        <w:t> </w:t>
      </w:r>
      <w:r>
        <w:rPr/>
        <w:t>seriously</w:t>
      </w:r>
      <w:r>
        <w:rPr>
          <w:spacing w:val="28"/>
        </w:rPr>
        <w:t> </w:t>
      </w:r>
      <w:r>
        <w:rPr/>
        <w:t>into</w:t>
      </w:r>
      <w:r>
        <w:rPr>
          <w:spacing w:val="28"/>
        </w:rPr>
        <w:t> </w:t>
      </w:r>
      <w:r>
        <w:rPr/>
        <w:t>meaningful</w:t>
      </w:r>
      <w:r>
        <w:rPr>
          <w:spacing w:val="28"/>
        </w:rPr>
        <w:t> </w:t>
      </w:r>
      <w:r>
        <w:rPr/>
        <w:t>negotiations for its withdrawal from Namibia;</w:t>
      </w:r>
    </w:p>
    <w:p>
      <w:pPr>
        <w:pStyle w:val="BodyText"/>
        <w:spacing w:before="3"/>
        <w:rPr>
          <w:sz w:val="34"/>
        </w:rPr>
      </w:pPr>
    </w:p>
    <w:p>
      <w:pPr>
        <w:pStyle w:val="BodyText"/>
        <w:spacing w:line="369" w:lineRule="auto"/>
        <w:ind w:left="171" w:right="306" w:firstLine="676"/>
        <w:jc w:val="both"/>
      </w:pPr>
      <w:r>
        <w:rPr>
          <w:b/>
          <w:u w:val="single"/>
        </w:rPr>
        <w:t>Commending</w:t>
      </w:r>
      <w:r>
        <w:rPr>
          <w:b/>
        </w:rPr>
        <w:t> </w:t>
      </w:r>
      <w:r>
        <w:rPr/>
        <w:t>the military and diplomatic efforts of SWAPO to secure genuine independence for Namibia;</w:t>
      </w:r>
    </w:p>
    <w:p>
      <w:pPr>
        <w:pStyle w:val="BodyText"/>
        <w:spacing w:before="8"/>
        <w:rPr>
          <w:sz w:val="33"/>
        </w:rPr>
      </w:pPr>
    </w:p>
    <w:p>
      <w:pPr>
        <w:pStyle w:val="BodyText"/>
        <w:spacing w:line="369" w:lineRule="auto"/>
        <w:ind w:left="171" w:right="304" w:firstLine="676"/>
        <w:jc w:val="both"/>
      </w:pPr>
      <w:r>
        <w:rPr>
          <w:b/>
          <w:u w:val="single"/>
        </w:rPr>
        <w:t>Gravely concerned</w:t>
      </w:r>
      <w:r>
        <w:rPr>
          <w:b/>
        </w:rPr>
        <w:t> </w:t>
      </w:r>
      <w:r>
        <w:rPr/>
        <w:t>of Southern Africa racist regime’s repeated acts of aggression against, military incursions into, and violations of the territorial integrity of the neighbouring states,</w:t>
      </w:r>
      <w:r>
        <w:rPr>
          <w:spacing w:val="21"/>
        </w:rPr>
        <w:t> </w:t>
      </w:r>
      <w:r>
        <w:rPr/>
        <w:t>in</w:t>
      </w:r>
      <w:r>
        <w:rPr>
          <w:spacing w:val="21"/>
        </w:rPr>
        <w:t> </w:t>
      </w:r>
      <w:r>
        <w:rPr/>
        <w:t>particular</w:t>
      </w:r>
      <w:r>
        <w:rPr>
          <w:spacing w:val="20"/>
        </w:rPr>
        <w:t> </w:t>
      </w:r>
      <w:r>
        <w:rPr/>
        <w:t>Angola</w:t>
      </w:r>
      <w:r>
        <w:rPr>
          <w:spacing w:val="20"/>
        </w:rPr>
        <w:t> </w:t>
      </w:r>
      <w:r>
        <w:rPr/>
        <w:t>and</w:t>
      </w:r>
      <w:r>
        <w:rPr>
          <w:spacing w:val="21"/>
        </w:rPr>
        <w:t> </w:t>
      </w:r>
      <w:r>
        <w:rPr/>
        <w:t>Zambia,</w:t>
      </w:r>
      <w:r>
        <w:rPr>
          <w:spacing w:val="21"/>
        </w:rPr>
        <w:t> </w:t>
      </w:r>
      <w:r>
        <w:rPr/>
        <w:t>causing</w:t>
      </w:r>
      <w:r>
        <w:rPr>
          <w:spacing w:val="20"/>
        </w:rPr>
        <w:t> </w:t>
      </w:r>
      <w:r>
        <w:rPr/>
        <w:t>considerable</w:t>
      </w:r>
      <w:r>
        <w:rPr>
          <w:spacing w:val="20"/>
        </w:rPr>
        <w:t> </w:t>
      </w:r>
      <w:r>
        <w:rPr/>
        <w:t>loss</w:t>
      </w:r>
      <w:r>
        <w:rPr>
          <w:spacing w:val="20"/>
        </w:rPr>
        <w:t> </w:t>
      </w:r>
      <w:r>
        <w:rPr/>
        <w:t>of</w:t>
      </w:r>
      <w:r>
        <w:rPr>
          <w:spacing w:val="20"/>
        </w:rPr>
        <w:t> </w:t>
      </w:r>
      <w:r>
        <w:rPr/>
        <w:t>human</w:t>
      </w:r>
      <w:r>
        <w:rPr>
          <w:spacing w:val="21"/>
        </w:rPr>
        <w:t> </w:t>
      </w:r>
      <w:r>
        <w:rPr/>
        <w:t>life</w:t>
      </w:r>
      <w:r>
        <w:rPr>
          <w:spacing w:val="20"/>
        </w:rPr>
        <w:t> </w:t>
      </w:r>
      <w:r>
        <w:rPr/>
        <w:t>and</w:t>
      </w:r>
      <w:r>
        <w:rPr>
          <w:spacing w:val="21"/>
        </w:rPr>
        <w:t> </w:t>
      </w:r>
      <w:r>
        <w:rPr/>
        <w:t>damage to property:</w:t>
      </w:r>
    </w:p>
    <w:p>
      <w:pPr>
        <w:pStyle w:val="BodyText"/>
        <w:spacing w:before="10"/>
        <w:rPr>
          <w:sz w:val="33"/>
        </w:rPr>
      </w:pPr>
    </w:p>
    <w:p>
      <w:pPr>
        <w:pStyle w:val="ListParagraph"/>
        <w:numPr>
          <w:ilvl w:val="0"/>
          <w:numId w:val="1"/>
        </w:numPr>
        <w:tabs>
          <w:tab w:pos="1185" w:val="left" w:leader="none"/>
        </w:tabs>
        <w:spacing w:line="367" w:lineRule="auto" w:before="1" w:after="0"/>
        <w:ind w:left="1184" w:right="304" w:hanging="336"/>
        <w:jc w:val="both"/>
        <w:rPr>
          <w:sz w:val="22"/>
        </w:rPr>
      </w:pPr>
      <w:r>
        <w:rPr>
          <w:b/>
          <w:sz w:val="22"/>
        </w:rPr>
        <w:t>STRONGLY</w:t>
      </w:r>
      <w:r>
        <w:rPr>
          <w:b/>
          <w:spacing w:val="40"/>
          <w:sz w:val="22"/>
        </w:rPr>
        <w:t> </w:t>
      </w:r>
      <w:r>
        <w:rPr>
          <w:b/>
          <w:sz w:val="22"/>
        </w:rPr>
        <w:t>CONDEMNS</w:t>
      </w:r>
      <w:r>
        <w:rPr>
          <w:b/>
          <w:spacing w:val="40"/>
          <w:sz w:val="22"/>
        </w:rPr>
        <w:t> </w:t>
      </w:r>
      <w:r>
        <w:rPr>
          <w:b/>
          <w:sz w:val="22"/>
        </w:rPr>
        <w:t>AND</w:t>
      </w:r>
      <w:r>
        <w:rPr>
          <w:b/>
          <w:spacing w:val="40"/>
          <w:sz w:val="22"/>
        </w:rPr>
        <w:t> </w:t>
      </w:r>
      <w:r>
        <w:rPr>
          <w:b/>
          <w:sz w:val="22"/>
        </w:rPr>
        <w:t>REJECTS</w:t>
      </w:r>
      <w:r>
        <w:rPr>
          <w:b/>
          <w:spacing w:val="40"/>
          <w:sz w:val="22"/>
        </w:rPr>
        <w:t> </w:t>
      </w:r>
      <w:r>
        <w:rPr>
          <w:sz w:val="22"/>
        </w:rPr>
        <w:t>and</w:t>
      </w:r>
      <w:r>
        <w:rPr>
          <w:spacing w:val="40"/>
          <w:sz w:val="22"/>
        </w:rPr>
        <w:t> </w:t>
      </w:r>
      <w:r>
        <w:rPr>
          <w:sz w:val="22"/>
        </w:rPr>
        <w:t>elections</w:t>
      </w:r>
      <w:r>
        <w:rPr>
          <w:spacing w:val="40"/>
          <w:sz w:val="22"/>
        </w:rPr>
        <w:t> </w:t>
      </w:r>
      <w:r>
        <w:rPr>
          <w:sz w:val="22"/>
        </w:rPr>
        <w:t>in</w:t>
      </w:r>
      <w:r>
        <w:rPr>
          <w:spacing w:val="40"/>
          <w:sz w:val="22"/>
        </w:rPr>
        <w:t> </w:t>
      </w:r>
      <w:r>
        <w:rPr>
          <w:sz w:val="22"/>
        </w:rPr>
        <w:t>Namibia</w:t>
      </w:r>
      <w:r>
        <w:rPr>
          <w:spacing w:val="40"/>
          <w:sz w:val="22"/>
        </w:rPr>
        <w:t> </w:t>
      </w:r>
      <w:r>
        <w:rPr>
          <w:sz w:val="22"/>
        </w:rPr>
        <w:t>which are not held under the control and supervision of the United Nations in conformity with the Security Council Resolution 385 (1976) in its entirety;</w:t>
      </w:r>
    </w:p>
    <w:p>
      <w:pPr>
        <w:pStyle w:val="BodyText"/>
        <w:spacing w:before="3"/>
        <w:rPr>
          <w:sz w:val="34"/>
        </w:rPr>
      </w:pPr>
    </w:p>
    <w:p>
      <w:pPr>
        <w:pStyle w:val="ListParagraph"/>
        <w:numPr>
          <w:ilvl w:val="0"/>
          <w:numId w:val="1"/>
        </w:numPr>
        <w:tabs>
          <w:tab w:pos="1185" w:val="left" w:leader="none"/>
        </w:tabs>
        <w:spacing w:line="369" w:lineRule="auto" w:before="0" w:after="0"/>
        <w:ind w:left="1184" w:right="308" w:hanging="336"/>
        <w:jc w:val="both"/>
        <w:rPr>
          <w:sz w:val="22"/>
        </w:rPr>
      </w:pPr>
      <w:r>
        <w:rPr>
          <w:b/>
          <w:sz w:val="22"/>
        </w:rPr>
        <w:t>STRONGLY CONDEMNS </w:t>
      </w:r>
      <w:r>
        <w:rPr>
          <w:sz w:val="22"/>
        </w:rPr>
        <w:t>the South African racist regime’s repeated acts of aggression and military incursions in the neighbouring independent States, in particular</w:t>
      </w:r>
      <w:r>
        <w:rPr>
          <w:spacing w:val="40"/>
          <w:sz w:val="22"/>
        </w:rPr>
        <w:t> </w:t>
      </w:r>
      <w:r>
        <w:rPr>
          <w:sz w:val="22"/>
        </w:rPr>
        <w:t>the</w:t>
      </w:r>
      <w:r>
        <w:rPr>
          <w:spacing w:val="40"/>
          <w:sz w:val="22"/>
        </w:rPr>
        <w:t> </w:t>
      </w:r>
      <w:r>
        <w:rPr>
          <w:sz w:val="22"/>
        </w:rPr>
        <w:t>recent</w:t>
      </w:r>
      <w:r>
        <w:rPr>
          <w:spacing w:val="40"/>
          <w:sz w:val="22"/>
        </w:rPr>
        <w:t> </w:t>
      </w:r>
      <w:r>
        <w:rPr>
          <w:sz w:val="22"/>
        </w:rPr>
        <w:t>massacres</w:t>
      </w:r>
      <w:r>
        <w:rPr>
          <w:spacing w:val="40"/>
          <w:sz w:val="22"/>
        </w:rPr>
        <w:t> </w:t>
      </w:r>
      <w:r>
        <w:rPr>
          <w:sz w:val="22"/>
        </w:rPr>
        <w:t>of</w:t>
      </w:r>
      <w:r>
        <w:rPr>
          <w:spacing w:val="40"/>
          <w:sz w:val="22"/>
        </w:rPr>
        <w:t> </w:t>
      </w:r>
      <w:r>
        <w:rPr>
          <w:sz w:val="22"/>
        </w:rPr>
        <w:t>innocent</w:t>
      </w:r>
      <w:r>
        <w:rPr>
          <w:spacing w:val="40"/>
          <w:sz w:val="22"/>
        </w:rPr>
        <w:t> </w:t>
      </w:r>
      <w:r>
        <w:rPr>
          <w:sz w:val="22"/>
        </w:rPr>
        <w:t>refugees</w:t>
      </w:r>
      <w:r>
        <w:rPr>
          <w:spacing w:val="40"/>
          <w:sz w:val="22"/>
        </w:rPr>
        <w:t> </w:t>
      </w:r>
      <w:r>
        <w:rPr>
          <w:sz w:val="22"/>
        </w:rPr>
        <w:t>at</w:t>
      </w:r>
      <w:r>
        <w:rPr>
          <w:spacing w:val="40"/>
          <w:sz w:val="22"/>
        </w:rPr>
        <w:t> </w:t>
      </w:r>
      <w:r>
        <w:rPr>
          <w:sz w:val="22"/>
        </w:rPr>
        <w:t>Cassinga</w:t>
      </w:r>
      <w:r>
        <w:rPr>
          <w:spacing w:val="40"/>
          <w:sz w:val="22"/>
        </w:rPr>
        <w:t> </w:t>
      </w:r>
      <w:r>
        <w:rPr>
          <w:sz w:val="22"/>
        </w:rPr>
        <w:t>during</w:t>
      </w:r>
      <w:r>
        <w:rPr>
          <w:spacing w:val="40"/>
          <w:sz w:val="22"/>
        </w:rPr>
        <w:t> </w:t>
      </w:r>
      <w:r>
        <w:rPr>
          <w:sz w:val="22"/>
        </w:rPr>
        <w:t>the invasion of People’s Republic of Angola;</w:t>
      </w:r>
    </w:p>
    <w:p>
      <w:pPr>
        <w:spacing w:after="0" w:line="369" w:lineRule="auto"/>
        <w:jc w:val="both"/>
        <w:rPr>
          <w:sz w:val="22"/>
        </w:rPr>
        <w:sectPr>
          <w:headerReference w:type="default" r:id="rId5"/>
          <w:type w:val="continuous"/>
          <w:pgSz w:w="12240" w:h="15840"/>
          <w:pgMar w:header="701" w:footer="0" w:top="940" w:bottom="280" w:left="1720" w:right="1560"/>
          <w:pgNumType w:start="1"/>
        </w:sectPr>
      </w:pPr>
    </w:p>
    <w:p>
      <w:pPr>
        <w:pStyle w:val="BodyText"/>
        <w:spacing w:before="4"/>
        <w:rPr>
          <w:sz w:val="26"/>
        </w:rPr>
      </w:pPr>
    </w:p>
    <w:p>
      <w:pPr>
        <w:pStyle w:val="ListParagraph"/>
        <w:numPr>
          <w:ilvl w:val="0"/>
          <w:numId w:val="1"/>
        </w:numPr>
        <w:tabs>
          <w:tab w:pos="1185" w:val="left" w:leader="none"/>
        </w:tabs>
        <w:spacing w:line="369" w:lineRule="auto" w:before="95" w:after="0"/>
        <w:ind w:left="1184" w:right="301" w:hanging="336"/>
        <w:jc w:val="left"/>
        <w:rPr>
          <w:sz w:val="22"/>
        </w:rPr>
      </w:pPr>
      <w:r>
        <w:rPr>
          <w:b/>
          <w:sz w:val="22"/>
        </w:rPr>
        <w:t>CALLS</w:t>
      </w:r>
      <w:r>
        <w:rPr>
          <w:b/>
          <w:spacing w:val="40"/>
          <w:sz w:val="22"/>
        </w:rPr>
        <w:t> </w:t>
      </w:r>
      <w:r>
        <w:rPr>
          <w:b/>
          <w:sz w:val="22"/>
        </w:rPr>
        <w:t>UPON</w:t>
      </w:r>
      <w:r>
        <w:rPr>
          <w:b/>
          <w:spacing w:val="76"/>
          <w:sz w:val="22"/>
        </w:rPr>
        <w:t> </w:t>
      </w:r>
      <w:r>
        <w:rPr>
          <w:sz w:val="22"/>
        </w:rPr>
        <w:t>all</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and</w:t>
      </w:r>
      <w:r>
        <w:rPr>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to</w:t>
      </w:r>
      <w:r>
        <w:rPr>
          <w:spacing w:val="80"/>
          <w:sz w:val="22"/>
        </w:rPr>
        <w:t> </w:t>
      </w:r>
      <w:r>
        <w:rPr>
          <w:sz w:val="22"/>
        </w:rPr>
        <w:t>increase their material and financial assistance to SWAPO.</w:t>
      </w:r>
    </w:p>
    <w:sectPr>
      <w:pgSz w:w="12240" w:h="15840"/>
      <w:pgMar w:header="701" w:footer="0" w:top="940" w:bottom="280" w:left="17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6288" type="#_x0000_t202" id="docshape1" filled="false" stroked="false">
          <v:textbox inset="0,0,0,0">
            <w:txbxContent>
              <w:p>
                <w:pPr>
                  <w:pStyle w:val="BodyText"/>
                  <w:spacing w:before="15"/>
                  <w:ind w:left="20"/>
                </w:pPr>
                <w:r>
                  <w:rPr/>
                  <w:t>CM/Res.</w:t>
                </w:r>
                <w:r>
                  <w:rPr>
                    <w:spacing w:val="26"/>
                  </w:rPr>
                  <w:t> </w:t>
                </w:r>
                <w:r>
                  <w:rPr>
                    <w:spacing w:val="-2"/>
                  </w:rPr>
                  <w:t>679(XXXI)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58" w:hanging="337"/>
      </w:pPr>
      <w:rPr>
        <w:rFonts w:hint="default"/>
        <w:lang w:val="en-US" w:eastAsia="en-US" w:bidi="ar-SA"/>
      </w:rPr>
    </w:lvl>
    <w:lvl w:ilvl="2">
      <w:start w:val="0"/>
      <w:numFmt w:val="bullet"/>
      <w:lvlText w:val="•"/>
      <w:lvlJc w:val="left"/>
      <w:pPr>
        <w:ind w:left="2736" w:hanging="337"/>
      </w:pPr>
      <w:rPr>
        <w:rFonts w:hint="default"/>
        <w:lang w:val="en-US" w:eastAsia="en-US" w:bidi="ar-SA"/>
      </w:rPr>
    </w:lvl>
    <w:lvl w:ilvl="3">
      <w:start w:val="0"/>
      <w:numFmt w:val="bullet"/>
      <w:lvlText w:val="•"/>
      <w:lvlJc w:val="left"/>
      <w:pPr>
        <w:ind w:left="3514" w:hanging="337"/>
      </w:pPr>
      <w:rPr>
        <w:rFonts w:hint="default"/>
        <w:lang w:val="en-US" w:eastAsia="en-US" w:bidi="ar-SA"/>
      </w:rPr>
    </w:lvl>
    <w:lvl w:ilvl="4">
      <w:start w:val="0"/>
      <w:numFmt w:val="bullet"/>
      <w:lvlText w:val="•"/>
      <w:lvlJc w:val="left"/>
      <w:pPr>
        <w:ind w:left="4292" w:hanging="337"/>
      </w:pPr>
      <w:rPr>
        <w:rFonts w:hint="default"/>
        <w:lang w:val="en-US" w:eastAsia="en-US" w:bidi="ar-SA"/>
      </w:rPr>
    </w:lvl>
    <w:lvl w:ilvl="5">
      <w:start w:val="0"/>
      <w:numFmt w:val="bullet"/>
      <w:lvlText w:val="•"/>
      <w:lvlJc w:val="left"/>
      <w:pPr>
        <w:ind w:left="5070" w:hanging="337"/>
      </w:pPr>
      <w:rPr>
        <w:rFonts w:hint="default"/>
        <w:lang w:val="en-US" w:eastAsia="en-US" w:bidi="ar-SA"/>
      </w:rPr>
    </w:lvl>
    <w:lvl w:ilvl="6">
      <w:start w:val="0"/>
      <w:numFmt w:val="bullet"/>
      <w:lvlText w:val="•"/>
      <w:lvlJc w:val="left"/>
      <w:pPr>
        <w:ind w:left="5848" w:hanging="337"/>
      </w:pPr>
      <w:rPr>
        <w:rFonts w:hint="default"/>
        <w:lang w:val="en-US" w:eastAsia="en-US" w:bidi="ar-SA"/>
      </w:rPr>
    </w:lvl>
    <w:lvl w:ilvl="7">
      <w:start w:val="0"/>
      <w:numFmt w:val="bullet"/>
      <w:lvlText w:val="•"/>
      <w:lvlJc w:val="left"/>
      <w:pPr>
        <w:ind w:left="6626" w:hanging="337"/>
      </w:pPr>
      <w:rPr>
        <w:rFonts w:hint="default"/>
        <w:lang w:val="en-US" w:eastAsia="en-US" w:bidi="ar-SA"/>
      </w:rPr>
    </w:lvl>
    <w:lvl w:ilvl="8">
      <w:start w:val="0"/>
      <w:numFmt w:val="bullet"/>
      <w:lvlText w:val="•"/>
      <w:lvlJc w:val="left"/>
      <w:pPr>
        <w:ind w:left="7404"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0"/>
      <w:ind w:left="2926" w:right="307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30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2023-06-07T08:58:30Z</dcterms:created>
  <dcterms:modified xsi:type="dcterms:W3CDTF">2023-06-07T08:58:30Z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