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DEVELOPMENT </w:t>
      </w:r>
      <w:r>
        <w:rPr>
          <w:u w:val="single"/>
        </w:rPr>
        <w:t>AND</w:t>
      </w:r>
      <w:r>
        <w:rPr>
          <w:u w:val="none"/>
        </w:rPr>
        <w:t> </w:t>
      </w:r>
      <w:r>
        <w:rPr>
          <w:u w:val="single"/>
        </w:rPr>
        <w:t>ECONOMIC</w:t>
      </w:r>
      <w:r>
        <w:rPr>
          <w:spacing w:val="7"/>
          <w:u w:val="single"/>
        </w:rPr>
        <w:t> </w:t>
      </w:r>
      <w:r>
        <w:rPr>
          <w:u w:val="single"/>
        </w:rPr>
        <w:t>INTEGRATION</w:t>
      </w:r>
      <w:r>
        <w:rPr>
          <w:spacing w:val="8"/>
          <w:u w:val="single"/>
        </w:rPr>
        <w:t> </w:t>
      </w:r>
      <w:r>
        <w:rPr>
          <w:u w:val="single"/>
        </w:rPr>
        <w:t>IN</w:t>
      </w:r>
      <w:r>
        <w:rPr>
          <w:spacing w:val="7"/>
          <w:u w:val="single"/>
        </w:rPr>
        <w:t> </w:t>
      </w:r>
      <w:r>
        <w:rPr>
          <w:spacing w:val="-2"/>
          <w:u w:val="single"/>
        </w:rPr>
        <w:t>AFRICA</w:t>
      </w:r>
    </w:p>
    <w:p>
      <w:pPr>
        <w:pStyle w:val="BodyText"/>
        <w:spacing w:before="6"/>
        <w:rPr>
          <w:b/>
          <w:sz w:val="24"/>
        </w:rPr>
      </w:pPr>
    </w:p>
    <w:p>
      <w:pPr>
        <w:pStyle w:val="BodyText"/>
        <w:spacing w:line="374" w:lineRule="auto" w:before="96"/>
        <w:ind w:left="171" w:right="160" w:firstLine="676"/>
        <w:jc w:val="both"/>
      </w:pPr>
      <w:r>
        <w:rPr/>
        <w:t>The Council of Minister of the Organization of African Unity, meeting in its Thirty- Second</w:t>
      </w:r>
      <w:r>
        <w:rPr>
          <w:spacing w:val="11"/>
        </w:rPr>
        <w:t> </w:t>
      </w:r>
      <w:r>
        <w:rPr/>
        <w:t>Ordinary</w:t>
      </w:r>
      <w:r>
        <w:rPr>
          <w:spacing w:val="9"/>
        </w:rPr>
        <w:t> </w:t>
      </w:r>
      <w:r>
        <w:rPr/>
        <w:t>Session</w:t>
      </w:r>
      <w:r>
        <w:rPr>
          <w:spacing w:val="9"/>
        </w:rPr>
        <w:t> </w:t>
      </w:r>
      <w:r>
        <w:rPr/>
        <w:t>in</w:t>
      </w:r>
      <w:r>
        <w:rPr>
          <w:spacing w:val="9"/>
        </w:rPr>
        <w:t> </w:t>
      </w:r>
      <w:r>
        <w:rPr/>
        <w:t>Nairobi,</w:t>
      </w:r>
      <w:r>
        <w:rPr>
          <w:spacing w:val="10"/>
        </w:rPr>
        <w:t> </w:t>
      </w:r>
      <w:r>
        <w:rPr/>
        <w:t>Republic</w:t>
      </w:r>
      <w:r>
        <w:rPr>
          <w:spacing w:val="10"/>
        </w:rPr>
        <w:t> </w:t>
      </w:r>
      <w:r>
        <w:rPr/>
        <w:t>of</w:t>
      </w:r>
      <w:r>
        <w:rPr>
          <w:spacing w:val="9"/>
        </w:rPr>
        <w:t> </w:t>
      </w:r>
      <w:r>
        <w:rPr/>
        <w:t>Kenya,</w:t>
      </w:r>
      <w:r>
        <w:rPr>
          <w:spacing w:val="10"/>
        </w:rPr>
        <w:t> </w:t>
      </w:r>
      <w:r>
        <w:rPr/>
        <w:t>from</w:t>
      </w:r>
      <w:r>
        <w:rPr>
          <w:spacing w:val="12"/>
        </w:rPr>
        <w:t> </w:t>
      </w:r>
      <w:r>
        <w:rPr/>
        <w:t>23</w:t>
      </w:r>
      <w:r>
        <w:rPr>
          <w:spacing w:val="11"/>
        </w:rPr>
        <w:t> </w:t>
      </w:r>
      <w:r>
        <w:rPr/>
        <w:t>February</w:t>
      </w:r>
      <w:r>
        <w:rPr>
          <w:spacing w:val="11"/>
        </w:rPr>
        <w:t> </w:t>
      </w:r>
      <w:r>
        <w:rPr/>
        <w:t>to</w:t>
      </w:r>
      <w:r>
        <w:rPr>
          <w:spacing w:val="13"/>
        </w:rPr>
        <w:t> </w:t>
      </w:r>
      <w:r>
        <w:rPr/>
        <w:t>4</w:t>
      </w:r>
      <w:r>
        <w:rPr>
          <w:spacing w:val="12"/>
        </w:rPr>
        <w:t> </w:t>
      </w:r>
      <w:r>
        <w:rPr/>
        <w:t>March,</w:t>
      </w:r>
      <w:r>
        <w:rPr>
          <w:spacing w:val="12"/>
        </w:rPr>
        <w:t> </w:t>
      </w:r>
      <w:r>
        <w:rPr>
          <w:spacing w:val="-2"/>
        </w:rPr>
        <w:t>1979,</w:t>
      </w:r>
    </w:p>
    <w:p>
      <w:pPr>
        <w:pStyle w:val="BodyText"/>
        <w:spacing w:before="2"/>
        <w:rPr>
          <w:sz w:val="33"/>
        </w:rPr>
      </w:pPr>
    </w:p>
    <w:p>
      <w:pPr>
        <w:pStyle w:val="BodyText"/>
        <w:spacing w:line="369" w:lineRule="auto"/>
        <w:ind w:left="171" w:right="174" w:firstLine="676"/>
        <w:jc w:val="both"/>
      </w:pPr>
      <w:r>
        <w:rPr>
          <w:b/>
          <w:u w:val="single"/>
        </w:rPr>
        <w:t>Having heard</w:t>
      </w:r>
      <w:r>
        <w:rPr>
          <w:b/>
        </w:rPr>
        <w:t> </w:t>
      </w:r>
      <w:r>
        <w:rPr/>
        <w:t>the introduction to the Secretary-General’s report specially the parts relating to economic activities;</w:t>
      </w:r>
    </w:p>
    <w:p>
      <w:pPr>
        <w:pStyle w:val="BodyText"/>
        <w:spacing w:before="8"/>
        <w:rPr>
          <w:sz w:val="33"/>
        </w:rPr>
      </w:pPr>
    </w:p>
    <w:p>
      <w:pPr>
        <w:pStyle w:val="BodyText"/>
        <w:spacing w:line="369" w:lineRule="auto"/>
        <w:ind w:left="171" w:right="162" w:firstLine="676"/>
        <w:jc w:val="both"/>
      </w:pPr>
      <w:r>
        <w:rPr>
          <w:b/>
          <w:u w:val="single"/>
        </w:rPr>
        <w:t>Recalling</w:t>
      </w:r>
      <w:r>
        <w:rPr>
          <w:b/>
        </w:rPr>
        <w:t> </w:t>
      </w:r>
      <w:r>
        <w:rPr/>
        <w:t>the African Declaration on cooperation, and development and economic independence adopted in Addis Ababa on 25 May 1973,</w:t>
      </w:r>
    </w:p>
    <w:p>
      <w:pPr>
        <w:pStyle w:val="BodyText"/>
        <w:spacing w:before="1"/>
        <w:rPr>
          <w:sz w:val="34"/>
        </w:rPr>
      </w:pPr>
    </w:p>
    <w:p>
      <w:pPr>
        <w:pStyle w:val="BodyText"/>
        <w:spacing w:line="369" w:lineRule="auto"/>
        <w:ind w:left="171" w:right="173" w:firstLine="676"/>
        <w:jc w:val="both"/>
      </w:pPr>
      <w:r>
        <w:rPr>
          <w:b/>
          <w:u w:val="single"/>
        </w:rPr>
        <w:t>Recalling</w:t>
      </w:r>
      <w:r>
        <w:rPr>
          <w:b/>
          <w:spacing w:val="29"/>
        </w:rPr>
        <w:t> </w:t>
      </w:r>
      <w:r>
        <w:rPr/>
        <w:t>the</w:t>
      </w:r>
      <w:r>
        <w:rPr>
          <w:spacing w:val="24"/>
        </w:rPr>
        <w:t> </w:t>
      </w:r>
      <w:r>
        <w:rPr/>
        <w:t>resolutions</w:t>
      </w:r>
      <w:r>
        <w:rPr>
          <w:spacing w:val="24"/>
        </w:rPr>
        <w:t> </w:t>
      </w:r>
      <w:r>
        <w:rPr/>
        <w:t>of</w:t>
      </w:r>
      <w:r>
        <w:rPr>
          <w:spacing w:val="23"/>
        </w:rPr>
        <w:t> </w:t>
      </w:r>
      <w:r>
        <w:rPr/>
        <w:t>the</w:t>
      </w:r>
      <w:r>
        <w:rPr>
          <w:spacing w:val="24"/>
        </w:rPr>
        <w:t> </w:t>
      </w:r>
      <w:r>
        <w:rPr/>
        <w:t>Eleventh</w:t>
      </w:r>
      <w:r>
        <w:rPr>
          <w:spacing w:val="23"/>
        </w:rPr>
        <w:t> </w:t>
      </w:r>
      <w:r>
        <w:rPr/>
        <w:t>Extraordinary</w:t>
      </w:r>
      <w:r>
        <w:rPr>
          <w:spacing w:val="23"/>
        </w:rPr>
        <w:t> </w:t>
      </w:r>
      <w:r>
        <w:rPr/>
        <w:t>Session</w:t>
      </w:r>
      <w:r>
        <w:rPr>
          <w:spacing w:val="24"/>
        </w:rPr>
        <w:t> </w:t>
      </w:r>
      <w:r>
        <w:rPr/>
        <w:t>of</w:t>
      </w:r>
      <w:r>
        <w:rPr>
          <w:spacing w:val="23"/>
        </w:rPr>
        <w:t> </w:t>
      </w:r>
      <w:r>
        <w:rPr/>
        <w:t>the</w:t>
      </w:r>
      <w:r>
        <w:rPr>
          <w:spacing w:val="24"/>
        </w:rPr>
        <w:t> </w:t>
      </w:r>
      <w:r>
        <w:rPr/>
        <w:t>OAU</w:t>
      </w:r>
      <w:r>
        <w:rPr>
          <w:spacing w:val="24"/>
        </w:rPr>
        <w:t> </w:t>
      </w:r>
      <w:r>
        <w:rPr/>
        <w:t>Council of Ministers in cooperation in Socio-economic fields;</w:t>
      </w:r>
    </w:p>
    <w:p>
      <w:pPr>
        <w:pStyle w:val="BodyText"/>
        <w:spacing w:before="3"/>
        <w:rPr>
          <w:sz w:val="33"/>
        </w:rPr>
      </w:pPr>
    </w:p>
    <w:p>
      <w:pPr>
        <w:pStyle w:val="BodyText"/>
        <w:spacing w:line="372" w:lineRule="auto"/>
        <w:ind w:left="171" w:right="160" w:firstLine="676"/>
        <w:jc w:val="both"/>
      </w:pPr>
      <w:r>
        <w:rPr>
          <w:b/>
          <w:u w:val="single"/>
        </w:rPr>
        <w:t>Considering</w:t>
      </w:r>
      <w:r>
        <w:rPr>
          <w:b/>
        </w:rPr>
        <w:t> </w:t>
      </w:r>
      <w:r>
        <w:rPr/>
        <w:t>the outcome of the conference of Ministers of Trade of OAU Member States</w:t>
      </w:r>
      <w:r>
        <w:rPr>
          <w:spacing w:val="40"/>
        </w:rPr>
        <w:t> </w:t>
      </w:r>
      <w:r>
        <w:rPr/>
        <w:t>held</w:t>
      </w:r>
      <w:r>
        <w:rPr>
          <w:spacing w:val="40"/>
        </w:rPr>
        <w:t> </w:t>
      </w:r>
      <w:r>
        <w:rPr/>
        <w:t>in</w:t>
      </w:r>
      <w:r>
        <w:rPr>
          <w:spacing w:val="40"/>
        </w:rPr>
        <w:t> </w:t>
      </w:r>
      <w:r>
        <w:rPr/>
        <w:t>Addis</w:t>
      </w:r>
      <w:r>
        <w:rPr>
          <w:spacing w:val="40"/>
        </w:rPr>
        <w:t> </w:t>
      </w:r>
      <w:r>
        <w:rPr/>
        <w:t>Ababa</w:t>
      </w:r>
      <w:r>
        <w:rPr>
          <w:spacing w:val="40"/>
        </w:rPr>
        <w:t> </w:t>
      </w:r>
      <w:r>
        <w:rPr/>
        <w:t>from</w:t>
      </w:r>
      <w:r>
        <w:rPr>
          <w:spacing w:val="40"/>
        </w:rPr>
        <w:t> </w:t>
      </w:r>
      <w:r>
        <w:rPr/>
        <w:t>23</w:t>
      </w:r>
      <w:r>
        <w:rPr>
          <w:spacing w:val="40"/>
        </w:rPr>
        <w:t> </w:t>
      </w:r>
      <w:r>
        <w:rPr/>
        <w:t>January</w:t>
      </w:r>
      <w:r>
        <w:rPr>
          <w:spacing w:val="40"/>
        </w:rPr>
        <w:t> </w:t>
      </w:r>
      <w:r>
        <w:rPr/>
        <w:t>to</w:t>
      </w:r>
      <w:r>
        <w:rPr>
          <w:spacing w:val="40"/>
        </w:rPr>
        <w:t> </w:t>
      </w:r>
      <w:r>
        <w:rPr/>
        <w:t>2</w:t>
      </w:r>
      <w:r>
        <w:rPr>
          <w:spacing w:val="40"/>
        </w:rPr>
        <w:t> </w:t>
      </w:r>
      <w:r>
        <w:rPr/>
        <w:t>February,</w:t>
      </w:r>
      <w:r>
        <w:rPr>
          <w:spacing w:val="40"/>
        </w:rPr>
        <w:t> </w:t>
      </w:r>
      <w:r>
        <w:rPr/>
        <w:t>1979</w:t>
      </w:r>
      <w:r>
        <w:rPr>
          <w:spacing w:val="40"/>
        </w:rPr>
        <w:t> </w:t>
      </w:r>
      <w:r>
        <w:rPr/>
        <w:t>and</w:t>
      </w:r>
      <w:r>
        <w:rPr>
          <w:spacing w:val="40"/>
        </w:rPr>
        <w:t> </w:t>
      </w:r>
      <w:r>
        <w:rPr/>
        <w:t>the</w:t>
      </w:r>
      <w:r>
        <w:rPr>
          <w:spacing w:val="40"/>
        </w:rPr>
        <w:t> </w:t>
      </w:r>
      <w:r>
        <w:rPr/>
        <w:t>Colloquim organised by the OAU and the ECA in Monrovia from 12 to 15 February 1979;</w:t>
      </w:r>
    </w:p>
    <w:p>
      <w:pPr>
        <w:pStyle w:val="BodyText"/>
        <w:spacing w:before="4"/>
        <w:rPr>
          <w:sz w:val="33"/>
        </w:rPr>
      </w:pPr>
    </w:p>
    <w:p>
      <w:pPr>
        <w:spacing w:before="0"/>
        <w:ind w:left="848" w:right="0" w:firstLine="0"/>
        <w:jc w:val="left"/>
        <w:rPr>
          <w:sz w:val="22"/>
        </w:rPr>
      </w:pPr>
      <w:r>
        <w:rPr>
          <w:b/>
          <w:sz w:val="22"/>
          <w:u w:val="single"/>
        </w:rPr>
        <w:t>Considering</w:t>
      </w:r>
      <w:r>
        <w:rPr>
          <w:b/>
          <w:spacing w:val="26"/>
          <w:sz w:val="22"/>
        </w:rPr>
        <w:t> </w:t>
      </w:r>
      <w:r>
        <w:rPr>
          <w:sz w:val="22"/>
        </w:rPr>
        <w:t>the</w:t>
      </w:r>
      <w:r>
        <w:rPr>
          <w:spacing w:val="12"/>
          <w:sz w:val="22"/>
        </w:rPr>
        <w:t> </w:t>
      </w:r>
      <w:r>
        <w:rPr>
          <w:sz w:val="22"/>
        </w:rPr>
        <w:t>present</w:t>
      </w:r>
      <w:r>
        <w:rPr>
          <w:spacing w:val="12"/>
          <w:sz w:val="22"/>
        </w:rPr>
        <w:t> </w:t>
      </w:r>
      <w:r>
        <w:rPr>
          <w:sz w:val="22"/>
        </w:rPr>
        <w:t>world</w:t>
      </w:r>
      <w:r>
        <w:rPr>
          <w:spacing w:val="12"/>
          <w:sz w:val="22"/>
        </w:rPr>
        <w:t> </w:t>
      </w:r>
      <w:r>
        <w:rPr>
          <w:sz w:val="22"/>
        </w:rPr>
        <w:t>economic</w:t>
      </w:r>
      <w:r>
        <w:rPr>
          <w:spacing w:val="11"/>
          <w:sz w:val="22"/>
        </w:rPr>
        <w:t> </w:t>
      </w:r>
      <w:r>
        <w:rPr>
          <w:spacing w:val="-2"/>
          <w:sz w:val="22"/>
        </w:rPr>
        <w:t>situation:</w:t>
      </w:r>
    </w:p>
    <w:p>
      <w:pPr>
        <w:pStyle w:val="BodyText"/>
        <w:rPr>
          <w:sz w:val="24"/>
        </w:rPr>
      </w:pPr>
    </w:p>
    <w:p>
      <w:pPr>
        <w:pStyle w:val="BodyText"/>
        <w:spacing w:before="7"/>
        <w:rPr>
          <w:sz w:val="21"/>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CONGRATULATES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on</w:t>
      </w:r>
      <w:r>
        <w:rPr>
          <w:spacing w:val="40"/>
          <w:sz w:val="22"/>
        </w:rPr>
        <w:t> </w:t>
      </w:r>
      <w:r>
        <w:rPr>
          <w:sz w:val="22"/>
        </w:rPr>
        <w:t>the</w:t>
      </w:r>
      <w:r>
        <w:rPr>
          <w:spacing w:val="40"/>
          <w:sz w:val="22"/>
        </w:rPr>
        <w:t> </w:t>
      </w:r>
      <w:r>
        <w:rPr>
          <w:sz w:val="22"/>
        </w:rPr>
        <w:t>efforts</w:t>
      </w:r>
      <w:r>
        <w:rPr>
          <w:spacing w:val="40"/>
          <w:sz w:val="22"/>
        </w:rPr>
        <w:t> </w:t>
      </w:r>
      <w:r>
        <w:rPr>
          <w:sz w:val="22"/>
        </w:rPr>
        <w:t>made in the field of development and economic integration of African countries;</w:t>
      </w:r>
    </w:p>
    <w:p>
      <w:pPr>
        <w:pStyle w:val="BodyText"/>
        <w:spacing w:before="1"/>
        <w:rPr>
          <w:sz w:val="34"/>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REAFFIRMS</w:t>
      </w:r>
      <w:r>
        <w:rPr>
          <w:b/>
          <w:spacing w:val="16"/>
          <w:sz w:val="22"/>
        </w:rPr>
        <w:t> </w:t>
      </w:r>
      <w:r>
        <w:rPr>
          <w:sz w:val="22"/>
        </w:rPr>
        <w:t>the</w:t>
      </w:r>
      <w:r>
        <w:rPr>
          <w:spacing w:val="4"/>
          <w:sz w:val="22"/>
        </w:rPr>
        <w:t> </w:t>
      </w:r>
      <w:r>
        <w:rPr>
          <w:sz w:val="22"/>
        </w:rPr>
        <w:t>need</w:t>
      </w:r>
      <w:r>
        <w:rPr>
          <w:spacing w:val="6"/>
          <w:sz w:val="22"/>
        </w:rPr>
        <w:t> </w:t>
      </w:r>
      <w:r>
        <w:rPr>
          <w:sz w:val="22"/>
        </w:rPr>
        <w:t>to</w:t>
      </w:r>
      <w:r>
        <w:rPr>
          <w:spacing w:val="6"/>
          <w:sz w:val="22"/>
        </w:rPr>
        <w:t> </w:t>
      </w:r>
      <w:r>
        <w:rPr>
          <w:sz w:val="22"/>
        </w:rPr>
        <w:t>establish</w:t>
      </w:r>
      <w:r>
        <w:rPr>
          <w:spacing w:val="5"/>
          <w:sz w:val="22"/>
        </w:rPr>
        <w:t> </w:t>
      </w:r>
      <w:r>
        <w:rPr>
          <w:sz w:val="22"/>
        </w:rPr>
        <w:t>an</w:t>
      </w:r>
      <w:r>
        <w:rPr>
          <w:spacing w:val="5"/>
          <w:sz w:val="22"/>
        </w:rPr>
        <w:t> </w:t>
      </w:r>
      <w:r>
        <w:rPr>
          <w:sz w:val="22"/>
        </w:rPr>
        <w:t>African</w:t>
      </w:r>
      <w:r>
        <w:rPr>
          <w:spacing w:val="5"/>
          <w:sz w:val="22"/>
        </w:rPr>
        <w:t> </w:t>
      </w:r>
      <w:r>
        <w:rPr>
          <w:sz w:val="22"/>
        </w:rPr>
        <w:t>Economic</w:t>
      </w:r>
      <w:r>
        <w:rPr>
          <w:spacing w:val="4"/>
          <w:sz w:val="22"/>
        </w:rPr>
        <w:t> </w:t>
      </w:r>
      <w:r>
        <w:rPr>
          <w:spacing w:val="-2"/>
          <w:sz w:val="22"/>
        </w:rPr>
        <w:t>Community;</w:t>
      </w:r>
    </w:p>
    <w:p>
      <w:pPr>
        <w:pStyle w:val="BodyText"/>
        <w:rPr>
          <w:sz w:val="24"/>
        </w:rPr>
      </w:pPr>
    </w:p>
    <w:p>
      <w:pPr>
        <w:pStyle w:val="BodyText"/>
        <w:spacing w:before="3"/>
        <w:rPr>
          <w:sz w:val="21"/>
        </w:rPr>
      </w:pPr>
    </w:p>
    <w:p>
      <w:pPr>
        <w:pStyle w:val="ListParagraph"/>
        <w:numPr>
          <w:ilvl w:val="0"/>
          <w:numId w:val="1"/>
        </w:numPr>
        <w:tabs>
          <w:tab w:pos="1185" w:val="left" w:leader="none"/>
        </w:tabs>
        <w:spacing w:line="369" w:lineRule="auto" w:before="0" w:after="0"/>
        <w:ind w:left="1183" w:right="144" w:hanging="336"/>
        <w:jc w:val="both"/>
        <w:rPr>
          <w:sz w:val="22"/>
        </w:rPr>
      </w:pPr>
      <w:r>
        <w:rPr>
          <w:b/>
          <w:sz w:val="22"/>
        </w:rPr>
        <w:t>CONSEQUENTLY REQUESTS </w:t>
      </w:r>
      <w:r>
        <w:rPr>
          <w:sz w:val="22"/>
        </w:rPr>
        <w:t>the Administrative Secretary-General to undertake in collaboration with the Institutions of the United Nations system and specially the United Nations Economic Commission for Africa and African Institutions for development, the necessary studies for the expeditions of the establishment of this Community;</w:t>
      </w:r>
    </w:p>
    <w:p>
      <w:pPr>
        <w:pStyle w:val="BodyText"/>
        <w:spacing w:before="10"/>
        <w:rPr>
          <w:sz w:val="33"/>
        </w:rPr>
      </w:pPr>
    </w:p>
    <w:p>
      <w:pPr>
        <w:pStyle w:val="ListParagraph"/>
        <w:numPr>
          <w:ilvl w:val="0"/>
          <w:numId w:val="1"/>
        </w:numPr>
        <w:tabs>
          <w:tab w:pos="1185" w:val="left" w:leader="none"/>
        </w:tabs>
        <w:spacing w:line="369" w:lineRule="auto" w:before="0" w:after="0"/>
        <w:ind w:left="1184" w:right="146"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convene</w:t>
      </w:r>
      <w:r>
        <w:rPr>
          <w:spacing w:val="40"/>
          <w:sz w:val="22"/>
        </w:rPr>
        <w:t> </w:t>
      </w:r>
      <w:r>
        <w:rPr>
          <w:sz w:val="22"/>
        </w:rPr>
        <w:t>a</w:t>
      </w:r>
      <w:r>
        <w:rPr>
          <w:spacing w:val="40"/>
          <w:sz w:val="22"/>
        </w:rPr>
        <w:t> </w:t>
      </w:r>
      <w:r>
        <w:rPr>
          <w:sz w:val="22"/>
        </w:rPr>
        <w:t>meeting</w:t>
      </w:r>
      <w:r>
        <w:rPr>
          <w:spacing w:val="40"/>
          <w:sz w:val="22"/>
        </w:rPr>
        <w:t> </w:t>
      </w:r>
      <w:r>
        <w:rPr>
          <w:sz w:val="22"/>
        </w:rPr>
        <w:t>of experts as well as a Conference of Ministers competent in this field to study the </w:t>
      </w:r>
      <w:r>
        <w:rPr>
          <w:spacing w:val="-2"/>
          <w:sz w:val="22"/>
        </w:rPr>
        <w:t>project;</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44" w:hanging="336"/>
        <w:jc w:val="both"/>
        <w:rPr>
          <w:sz w:val="22"/>
        </w:rPr>
      </w:pPr>
      <w:r>
        <w:rPr>
          <w:b/>
          <w:sz w:val="22"/>
        </w:rPr>
        <w:t>REQUESTS</w:t>
      </w:r>
      <w:r>
        <w:rPr>
          <w:b/>
          <w:spacing w:val="40"/>
          <w:sz w:val="22"/>
        </w:rPr>
        <w:t> </w:t>
      </w:r>
      <w:r>
        <w:rPr>
          <w:sz w:val="22"/>
        </w:rPr>
        <w:t>the</w:t>
      </w:r>
      <w:r>
        <w:rPr>
          <w:spacing w:val="40"/>
          <w:sz w:val="22"/>
        </w:rPr>
        <w:t> </w:t>
      </w:r>
      <w:r>
        <w:rPr>
          <w:sz w:val="22"/>
        </w:rPr>
        <w:t>Advisory</w:t>
      </w:r>
      <w:r>
        <w:rPr>
          <w:spacing w:val="40"/>
          <w:sz w:val="22"/>
        </w:rPr>
        <w:t> </w:t>
      </w:r>
      <w:r>
        <w:rPr>
          <w:sz w:val="22"/>
        </w:rPr>
        <w:t>Committee</w:t>
      </w:r>
      <w:r>
        <w:rPr>
          <w:spacing w:val="40"/>
          <w:sz w:val="22"/>
        </w:rPr>
        <w:t> </w:t>
      </w:r>
      <w:r>
        <w:rPr>
          <w:sz w:val="22"/>
        </w:rPr>
        <w:t>on</w:t>
      </w:r>
      <w:r>
        <w:rPr>
          <w:spacing w:val="40"/>
          <w:sz w:val="22"/>
        </w:rPr>
        <w:t> </w:t>
      </w:r>
      <w:r>
        <w:rPr>
          <w:sz w:val="22"/>
        </w:rPr>
        <w:t>Budgetary</w:t>
      </w:r>
      <w:r>
        <w:rPr>
          <w:spacing w:val="40"/>
          <w:sz w:val="22"/>
        </w:rPr>
        <w:t> </w:t>
      </w:r>
      <w:r>
        <w:rPr>
          <w:sz w:val="22"/>
        </w:rPr>
        <w:t>and</w:t>
      </w:r>
      <w:r>
        <w:rPr>
          <w:spacing w:val="40"/>
          <w:sz w:val="22"/>
        </w:rPr>
        <w:t> </w:t>
      </w:r>
      <w:r>
        <w:rPr>
          <w:sz w:val="22"/>
        </w:rPr>
        <w:t>Financial</w:t>
      </w:r>
      <w:r>
        <w:rPr>
          <w:spacing w:val="80"/>
          <w:sz w:val="22"/>
        </w:rPr>
        <w:t> </w:t>
      </w:r>
      <w:r>
        <w:rPr>
          <w:sz w:val="22"/>
        </w:rPr>
        <w:t>Matters</w:t>
      </w:r>
      <w:r>
        <w:rPr>
          <w:spacing w:val="40"/>
          <w:sz w:val="22"/>
        </w:rPr>
        <w:t> </w:t>
      </w:r>
      <w:r>
        <w:rPr>
          <w:sz w:val="22"/>
        </w:rPr>
        <w:t>to take the necessary steps promptly to enable the Secretariat to implement this </w:t>
      </w:r>
      <w:r>
        <w:rPr>
          <w:spacing w:val="-2"/>
          <w:sz w:val="22"/>
        </w:rPr>
        <w:t>resolution;</w:t>
      </w:r>
    </w:p>
    <w:p>
      <w:pPr>
        <w:pStyle w:val="BodyText"/>
        <w:spacing w:before="7"/>
        <w:rPr>
          <w:sz w:val="33"/>
        </w:rPr>
      </w:pPr>
    </w:p>
    <w:p>
      <w:pPr>
        <w:pStyle w:val="ListParagraph"/>
        <w:numPr>
          <w:ilvl w:val="0"/>
          <w:numId w:val="1"/>
        </w:numPr>
        <w:tabs>
          <w:tab w:pos="1185" w:val="left" w:leader="none"/>
        </w:tabs>
        <w:spacing w:line="369" w:lineRule="auto" w:before="0" w:after="0"/>
        <w:ind w:left="1183" w:right="142" w:hanging="336"/>
        <w:jc w:val="both"/>
        <w:rPr>
          <w:sz w:val="22"/>
        </w:rPr>
      </w:pPr>
      <w:r>
        <w:rPr>
          <w:b/>
          <w:sz w:val="22"/>
        </w:rPr>
        <w:t>CALLS</w:t>
      </w:r>
      <w:r>
        <w:rPr>
          <w:b/>
          <w:spacing w:val="40"/>
          <w:sz w:val="22"/>
        </w:rPr>
        <w:t> </w:t>
      </w:r>
      <w:r>
        <w:rPr>
          <w:b/>
          <w:sz w:val="22"/>
        </w:rPr>
        <w:t>UPON</w:t>
      </w:r>
      <w:r>
        <w:rPr>
          <w:b/>
          <w:spacing w:val="40"/>
          <w:sz w:val="22"/>
        </w:rPr>
        <w:t> </w:t>
      </w:r>
      <w:r>
        <w:rPr>
          <w:sz w:val="22"/>
        </w:rPr>
        <w:t>the Administrative Secretary-General to submit to the Thirty-</w:t>
      </w:r>
      <w:r>
        <w:rPr>
          <w:spacing w:val="40"/>
          <w:sz w:val="22"/>
        </w:rPr>
        <w:t> </w:t>
      </w:r>
      <w:r>
        <w:rPr>
          <w:sz w:val="22"/>
        </w:rPr>
        <w:t>Third Ordinary Session of the council an interim report which will be submitted to the Sixteenth Assembly of Heads of State and Government of the Organization of African Unity.</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59360" type="#_x0000_t202" id="docshape1" filled="false" stroked="false">
          <v:textbox inset="0,0,0,0">
            <w:txbxContent>
              <w:p>
                <w:pPr>
                  <w:pStyle w:val="BodyText"/>
                  <w:spacing w:before="15"/>
                  <w:ind w:left="20"/>
                </w:pPr>
                <w:r>
                  <w:rPr/>
                  <w:t>CM/Res.</w:t>
                </w:r>
                <w:r>
                  <w:rPr>
                    <w:spacing w:val="15"/>
                  </w:rPr>
                  <w:t> </w:t>
                </w:r>
                <w:r>
                  <w:rPr/>
                  <w:t>682</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312" w:right="1115" w:hanging="2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2023-06-07T08:58:39Z</dcterms:created>
  <dcterms:modified xsi:type="dcterms:W3CDTF">2023-06-07T08:58:39Z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