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683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line="369" w:lineRule="auto"/>
        <w:ind w:left="3300" w:right="352"/>
        <w:rPr>
          <w:u w:val="none"/>
        </w:rPr>
      </w:pPr>
      <w:r>
        <w:rPr>
          <w:u w:val="single"/>
        </w:rPr>
        <w:t>RESOLUTION ON RECRUITMENT OF PERSONNEL AND</w:t>
      </w:r>
      <w:r>
        <w:rPr>
          <w:u w:val="none"/>
        </w:rPr>
        <w:t> </w:t>
      </w:r>
      <w:r>
        <w:rPr>
          <w:u w:val="single"/>
        </w:rPr>
        <w:t>NATIONAL QUOTAS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50" w:firstLine="676"/>
      </w:pPr>
      <w:r>
        <w:rPr/>
        <w:t>The</w:t>
      </w:r>
      <w:r>
        <w:rPr>
          <w:spacing w:val="27"/>
        </w:rPr>
        <w:t> </w:t>
      </w:r>
      <w:r>
        <w:rPr/>
        <w:t>Council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Minister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Organization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Unity,</w:t>
      </w:r>
      <w:r>
        <w:rPr>
          <w:spacing w:val="29"/>
        </w:rPr>
        <w:t> </w:t>
      </w:r>
      <w:r>
        <w:rPr/>
        <w:t>meeting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Thirty- Second</w:t>
      </w:r>
      <w:r>
        <w:rPr>
          <w:spacing w:val="9"/>
        </w:rPr>
        <w:t> </w:t>
      </w:r>
      <w:r>
        <w:rPr/>
        <w:t>Ordinary</w:t>
      </w:r>
      <w:r>
        <w:rPr>
          <w:spacing w:val="8"/>
        </w:rPr>
        <w:t> </w:t>
      </w:r>
      <w:r>
        <w:rPr/>
        <w:t>Session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Nairobi,</w:t>
      </w:r>
      <w:r>
        <w:rPr>
          <w:spacing w:val="10"/>
        </w:rPr>
        <w:t> </w:t>
      </w:r>
      <w:r>
        <w:rPr/>
        <w:t>Republic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Kenya,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23</w:t>
      </w:r>
      <w:r>
        <w:rPr>
          <w:spacing w:val="10"/>
        </w:rPr>
        <w:t> </w:t>
      </w:r>
      <w:r>
        <w:rPr/>
        <w:t>February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4</w:t>
      </w:r>
      <w:r>
        <w:rPr>
          <w:spacing w:val="10"/>
        </w:rPr>
        <w:t> </w:t>
      </w:r>
      <w:r>
        <w:rPr/>
        <w:t>March,</w:t>
      </w:r>
      <w:r>
        <w:rPr>
          <w:spacing w:val="9"/>
        </w:rPr>
        <w:t> </w:t>
      </w:r>
      <w:r>
        <w:rPr/>
        <w:t>1</w:t>
      </w:r>
      <w:r>
        <w:rPr>
          <w:spacing w:val="-23"/>
        </w:rPr>
        <w:t> </w:t>
      </w:r>
      <w:r>
        <w:rPr>
          <w:spacing w:val="-4"/>
        </w:rPr>
        <w:t>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0" w:firstLine="676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Activities Report of the Administrative Secretary-General of</w:t>
      </w:r>
      <w:r>
        <w:rPr>
          <w:spacing w:val="40"/>
        </w:rPr>
        <w:t> </w:t>
      </w:r>
      <w:r>
        <w:rPr/>
        <w:t>the</w:t>
      </w:r>
      <w:r>
        <w:rPr>
          <w:spacing w:val="31"/>
        </w:rPr>
        <w:t> </w:t>
      </w:r>
      <w:r>
        <w:rPr/>
        <w:t>OAU</w:t>
      </w:r>
      <w:r>
        <w:rPr>
          <w:spacing w:val="31"/>
        </w:rPr>
        <w:t> </w:t>
      </w:r>
      <w:r>
        <w:rPr/>
        <w:t>covering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period</w:t>
      </w:r>
      <w:r>
        <w:rPr>
          <w:spacing w:val="33"/>
        </w:rPr>
        <w:t> </w:t>
      </w:r>
      <w:r>
        <w:rPr/>
        <w:t>July</w:t>
      </w:r>
      <w:r>
        <w:rPr>
          <w:spacing w:val="31"/>
        </w:rPr>
        <w:t> </w:t>
      </w:r>
      <w:r>
        <w:rPr/>
        <w:t>1978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February</w:t>
      </w:r>
      <w:r>
        <w:rPr>
          <w:spacing w:val="31"/>
        </w:rPr>
        <w:t> </w:t>
      </w:r>
      <w:r>
        <w:rPr/>
        <w:t>1979</w:t>
      </w:r>
      <w:r>
        <w:rPr>
          <w:spacing w:val="33"/>
        </w:rPr>
        <w:t> </w:t>
      </w:r>
      <w:r>
        <w:rPr/>
        <w:t>contained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Document</w:t>
      </w:r>
      <w:r>
        <w:rPr>
          <w:spacing w:val="31"/>
        </w:rPr>
        <w:t> </w:t>
      </w:r>
      <w:r>
        <w:rPr>
          <w:spacing w:val="-2"/>
        </w:rPr>
        <w:t>CM/928</w:t>
      </w:r>
    </w:p>
    <w:p>
      <w:pPr>
        <w:pStyle w:val="BodyText"/>
        <w:spacing w:line="369" w:lineRule="auto"/>
        <w:ind w:left="171" w:right="352"/>
      </w:pPr>
      <w:r>
        <w:rPr/>
        <w:t>(XXXII)</w:t>
      </w:r>
      <w:r>
        <w:rPr>
          <w:spacing w:val="17"/>
        </w:rPr>
        <w:t> </w:t>
      </w:r>
      <w:r>
        <w:rPr/>
        <w:t>Part II as well as the report of the committee of 14</w:t>
      </w:r>
      <w:r>
        <w:rPr>
          <w:spacing w:val="17"/>
        </w:rPr>
        <w:t> </w:t>
      </w:r>
      <w:r>
        <w:rPr/>
        <w:t>on the Structural Reforms of the</w:t>
      </w:r>
      <w:r>
        <w:rPr>
          <w:spacing w:val="80"/>
        </w:rPr>
        <w:t> </w:t>
      </w:r>
      <w:r>
        <w:rPr>
          <w:spacing w:val="-4"/>
        </w:rPr>
        <w:t>OAU;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Recognizing</w:t>
      </w:r>
      <w:r>
        <w:rPr>
          <w:b/>
          <w:spacing w:val="40"/>
        </w:rPr>
        <w:t> </w:t>
      </w:r>
      <w:r>
        <w:rPr/>
        <w:t>the</w:t>
      </w:r>
      <w:r>
        <w:rPr>
          <w:spacing w:val="36"/>
        </w:rPr>
        <w:t> </w:t>
      </w:r>
      <w:r>
        <w:rPr/>
        <w:t>need</w:t>
      </w:r>
      <w:r>
        <w:rPr>
          <w:spacing w:val="37"/>
        </w:rPr>
        <w:t> </w:t>
      </w:r>
      <w:r>
        <w:rPr/>
        <w:t>for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Administrative</w:t>
      </w:r>
      <w:r>
        <w:rPr>
          <w:spacing w:val="36"/>
        </w:rPr>
        <w:t> </w:t>
      </w:r>
      <w:r>
        <w:rPr/>
        <w:t>Secretary-General to recruit competent staff for the administration and effective running of the OAU Secretariat;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50" w:firstLine="677"/>
      </w:pPr>
      <w:r>
        <w:rPr>
          <w:b/>
          <w:u w:val="single"/>
        </w:rPr>
        <w:t>Bearing</w:t>
      </w:r>
      <w:r>
        <w:rPr>
          <w:b/>
          <w:spacing w:val="33"/>
          <w:u w:val="single"/>
        </w:rPr>
        <w:t> </w:t>
      </w:r>
      <w:r>
        <w:rPr>
          <w:b/>
          <w:u w:val="single"/>
        </w:rPr>
        <w:t>in</w:t>
      </w:r>
      <w:r>
        <w:rPr>
          <w:b/>
          <w:spacing w:val="33"/>
          <w:u w:val="single"/>
        </w:rPr>
        <w:t> </w:t>
      </w:r>
      <w:r>
        <w:rPr>
          <w:b/>
          <w:u w:val="single"/>
        </w:rPr>
        <w:t>mind</w:t>
      </w:r>
      <w:r>
        <w:rPr>
          <w:b/>
          <w:spacing w:val="40"/>
        </w:rPr>
        <w:t> </w:t>
      </w:r>
      <w:r>
        <w:rPr/>
        <w:t>also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established</w:t>
      </w:r>
      <w:r>
        <w:rPr>
          <w:spacing w:val="32"/>
        </w:rPr>
        <w:t> </w:t>
      </w:r>
      <w:r>
        <w:rPr/>
        <w:t>principle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national</w:t>
      </w:r>
      <w:r>
        <w:rPr>
          <w:spacing w:val="31"/>
        </w:rPr>
        <w:t> </w:t>
      </w:r>
      <w:r>
        <w:rPr/>
        <w:t>quotas</w:t>
      </w:r>
      <w:r>
        <w:rPr>
          <w:spacing w:val="31"/>
        </w:rPr>
        <w:t> </w:t>
      </w:r>
      <w:r>
        <w:rPr/>
        <w:t>as</w:t>
      </w:r>
      <w:r>
        <w:rPr>
          <w:spacing w:val="31"/>
        </w:rPr>
        <w:t> </w:t>
      </w:r>
      <w:r>
        <w:rPr/>
        <w:t>well</w:t>
      </w:r>
      <w:r>
        <w:rPr>
          <w:spacing w:val="31"/>
        </w:rPr>
        <w:t> </w:t>
      </w:r>
      <w:r>
        <w:rPr/>
        <w:t>as</w:t>
      </w:r>
      <w:r>
        <w:rPr>
          <w:spacing w:val="40"/>
        </w:rPr>
        <w:t> </w:t>
      </w:r>
      <w:r>
        <w:rPr/>
        <w:t>that</w:t>
      </w:r>
      <w:r>
        <w:rPr>
          <w:spacing w:val="30"/>
        </w:rPr>
        <w:t> </w:t>
      </w:r>
      <w:r>
        <w:rPr/>
        <w:t>of equitable geographical distribution;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b/>
          <w:sz w:val="22"/>
        </w:rPr>
      </w:pPr>
      <w:r>
        <w:rPr>
          <w:b/>
          <w:spacing w:val="-2"/>
          <w:sz w:val="22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" w:after="0"/>
        <w:ind w:left="1524" w:right="172" w:hanging="341"/>
        <w:jc w:val="both"/>
        <w:rPr>
          <w:sz w:val="22"/>
        </w:rPr>
      </w:pPr>
      <w:r>
        <w:rPr>
          <w:sz w:val="22"/>
        </w:rPr>
        <w:t>That for the time being Staff Members of the General Services Category who</w:t>
      </w:r>
      <w:r>
        <w:rPr>
          <w:spacing w:val="40"/>
          <w:sz w:val="22"/>
        </w:rPr>
        <w:t> </w:t>
      </w:r>
      <w:r>
        <w:rPr>
          <w:sz w:val="22"/>
        </w:rPr>
        <w:t>are recruited should not be subject to the quota system;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72" w:lineRule="auto" w:before="0" w:after="0"/>
        <w:ind w:left="1524" w:right="142" w:hanging="341"/>
        <w:jc w:val="both"/>
        <w:rPr>
          <w:sz w:val="22"/>
        </w:rPr>
      </w:pPr>
      <w:r>
        <w:rPr>
          <w:sz w:val="22"/>
        </w:rPr>
        <w:t>That for the time being the recruitment of Technical Staff (Interpreters, Translators,</w:t>
      </w:r>
      <w:r>
        <w:rPr>
          <w:spacing w:val="30"/>
          <w:sz w:val="22"/>
        </w:rPr>
        <w:t> </w:t>
      </w:r>
      <w:r>
        <w:rPr>
          <w:sz w:val="22"/>
        </w:rPr>
        <w:t>Revisors,</w:t>
      </w:r>
      <w:r>
        <w:rPr>
          <w:spacing w:val="30"/>
          <w:sz w:val="22"/>
        </w:rPr>
        <w:t> </w:t>
      </w:r>
      <w:r>
        <w:rPr>
          <w:sz w:val="22"/>
        </w:rPr>
        <w:t>Precis</w:t>
      </w:r>
      <w:r>
        <w:rPr>
          <w:spacing w:val="29"/>
          <w:sz w:val="22"/>
        </w:rPr>
        <w:t> </w:t>
      </w:r>
      <w:r>
        <w:rPr>
          <w:sz w:val="22"/>
        </w:rPr>
        <w:t>writers)</w:t>
      </w:r>
      <w:r>
        <w:rPr>
          <w:spacing w:val="30"/>
          <w:sz w:val="22"/>
        </w:rPr>
        <w:t> </w:t>
      </w:r>
      <w:r>
        <w:rPr>
          <w:sz w:val="22"/>
        </w:rPr>
        <w:t>should</w:t>
      </w:r>
      <w:r>
        <w:rPr>
          <w:spacing w:val="30"/>
          <w:sz w:val="22"/>
        </w:rPr>
        <w:t> </w:t>
      </w:r>
      <w:r>
        <w:rPr>
          <w:sz w:val="22"/>
        </w:rPr>
        <w:t>not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29"/>
          <w:sz w:val="22"/>
        </w:rPr>
        <w:t> </w:t>
      </w:r>
      <w:r>
        <w:rPr>
          <w:sz w:val="22"/>
        </w:rPr>
        <w:t>counted</w:t>
      </w:r>
      <w:r>
        <w:rPr>
          <w:spacing w:val="30"/>
          <w:sz w:val="22"/>
        </w:rPr>
        <w:t> </w:t>
      </w:r>
      <w:r>
        <w:rPr>
          <w:sz w:val="22"/>
        </w:rPr>
        <w:t>against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quota of Member States;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60" w:hanging="341"/>
        <w:jc w:val="both"/>
        <w:rPr>
          <w:sz w:val="22"/>
        </w:rPr>
      </w:pP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quota</w:t>
      </w:r>
      <w:r>
        <w:rPr>
          <w:spacing w:val="40"/>
          <w:sz w:val="22"/>
        </w:rPr>
        <w:t> </w:t>
      </w:r>
      <w:r>
        <w:rPr>
          <w:sz w:val="22"/>
        </w:rPr>
        <w:t>should</w:t>
      </w:r>
      <w:r>
        <w:rPr>
          <w:spacing w:val="40"/>
          <w:sz w:val="22"/>
        </w:rPr>
        <w:t> </w:t>
      </w:r>
      <w:r>
        <w:rPr>
          <w:sz w:val="22"/>
        </w:rPr>
        <w:t>only</w:t>
      </w:r>
      <w:r>
        <w:rPr>
          <w:spacing w:val="40"/>
          <w:sz w:val="22"/>
        </w:rPr>
        <w:t> </w:t>
      </w:r>
      <w:r>
        <w:rPr>
          <w:sz w:val="22"/>
        </w:rPr>
        <w:t>apply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staff</w:t>
      </w:r>
      <w:r>
        <w:rPr>
          <w:spacing w:val="40"/>
          <w:sz w:val="22"/>
        </w:rPr>
        <w:t> </w:t>
      </w:r>
      <w:r>
        <w:rPr>
          <w:sz w:val="22"/>
        </w:rPr>
        <w:t>Members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professional </w:t>
      </w:r>
      <w:r>
        <w:rPr>
          <w:spacing w:val="-2"/>
          <w:sz w:val="22"/>
        </w:rPr>
        <w:t>Category.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2707" w:val="left" w:leader="none"/>
        </w:tabs>
        <w:spacing w:line="369" w:lineRule="auto" w:before="0" w:after="0"/>
        <w:ind w:left="1184" w:right="155" w:hanging="336"/>
        <w:jc w:val="left"/>
        <w:rPr>
          <w:sz w:val="22"/>
        </w:rPr>
      </w:pPr>
      <w:r>
        <w:rPr>
          <w:b/>
          <w:spacing w:val="-2"/>
          <w:sz w:val="22"/>
        </w:rPr>
        <w:t>REAFFIRMS</w:t>
      </w:r>
      <w:r>
        <w:rPr>
          <w:b/>
          <w:sz w:val="22"/>
        </w:rPr>
        <w:tab/>
      </w:r>
      <w:r>
        <w:rPr>
          <w:sz w:val="22"/>
        </w:rPr>
        <w:t>that</w:t>
      </w:r>
      <w:r>
        <w:rPr>
          <w:spacing w:val="80"/>
          <w:w w:val="150"/>
          <w:sz w:val="22"/>
        </w:rPr>
        <w:t> </w:t>
      </w:r>
      <w:r>
        <w:rPr>
          <w:sz w:val="22"/>
        </w:rPr>
        <w:t>in</w:t>
      </w:r>
      <w:r>
        <w:rPr>
          <w:spacing w:val="80"/>
          <w:w w:val="150"/>
          <w:sz w:val="22"/>
        </w:rPr>
        <w:t> </w:t>
      </w:r>
      <w:r>
        <w:rPr>
          <w:sz w:val="22"/>
        </w:rPr>
        <w:t>all</w:t>
      </w:r>
      <w:r>
        <w:rPr>
          <w:spacing w:val="80"/>
          <w:w w:val="150"/>
          <w:sz w:val="22"/>
        </w:rPr>
        <w:t> </w:t>
      </w:r>
      <w:r>
        <w:rPr>
          <w:sz w:val="22"/>
        </w:rPr>
        <w:t>matters</w:t>
      </w:r>
      <w:r>
        <w:rPr>
          <w:spacing w:val="80"/>
          <w:w w:val="150"/>
          <w:sz w:val="22"/>
        </w:rPr>
        <w:t> </w:t>
      </w:r>
      <w:r>
        <w:rPr>
          <w:sz w:val="22"/>
        </w:rPr>
        <w:t>of</w:t>
      </w:r>
      <w:r>
        <w:rPr>
          <w:spacing w:val="80"/>
          <w:w w:val="150"/>
          <w:sz w:val="22"/>
        </w:rPr>
        <w:t> </w:t>
      </w:r>
      <w:r>
        <w:rPr>
          <w:sz w:val="22"/>
        </w:rPr>
        <w:t>recruitment</w:t>
      </w:r>
      <w:r>
        <w:rPr>
          <w:spacing w:val="80"/>
          <w:w w:val="150"/>
          <w:sz w:val="22"/>
        </w:rPr>
        <w:t> </w:t>
      </w:r>
      <w:r>
        <w:rPr>
          <w:sz w:val="22"/>
        </w:rPr>
        <w:t>equitable</w:t>
      </w:r>
      <w:r>
        <w:rPr>
          <w:spacing w:val="80"/>
          <w:w w:val="150"/>
          <w:sz w:val="22"/>
        </w:rPr>
        <w:t> </w:t>
      </w:r>
      <w:r>
        <w:rPr>
          <w:sz w:val="22"/>
        </w:rPr>
        <w:t>geographical</w:t>
      </w:r>
      <w:r>
        <w:rPr>
          <w:spacing w:val="80"/>
          <w:sz w:val="22"/>
        </w:rPr>
        <w:t> </w:t>
      </w:r>
      <w:r>
        <w:rPr>
          <w:sz w:val="22"/>
        </w:rPr>
        <w:t>distribution should as much as possible be taken into account.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4" w:hanging="1892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2023-06-07T08:58:41Z</dcterms:created>
  <dcterms:modified xsi:type="dcterms:W3CDTF">2023-06-07T08:58:41Z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