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HAILING IRAN’S RALLYING TO THE </w:t>
      </w:r>
      <w:r>
        <w:rPr>
          <w:u w:val="none"/>
        </w:rPr>
        <w:t> </w:t>
      </w:r>
      <w:r>
        <w:rPr>
          <w:u w:val="single"/>
        </w:rPr>
        <w:t>SANCTIONS ADOPTED AGAINST R</w:t>
      </w:r>
      <w:r>
        <w:rPr>
          <w:spacing w:val="-10"/>
          <w:u w:val="single"/>
        </w:rPr>
        <w:t> </w:t>
      </w:r>
      <w:r>
        <w:rPr>
          <w:u w:val="single"/>
        </w:rPr>
        <w:t>ACIST AND</w:t>
      </w:r>
      <w:r>
        <w:rPr>
          <w:u w:val="none"/>
        </w:rPr>
        <w:t> </w:t>
      </w:r>
      <w:r>
        <w:rPr>
          <w:u w:val="single"/>
        </w:rPr>
        <w:t>MINORITY REGIMES</w:t>
      </w:r>
    </w:p>
    <w:p>
      <w:pPr>
        <w:pStyle w:val="BodyText"/>
        <w:spacing w:before="10"/>
        <w:rPr>
          <w:b/>
          <w:sz w:val="24"/>
        </w:rPr>
      </w:pPr>
    </w:p>
    <w:p>
      <w:pPr>
        <w:pStyle w:val="BodyText"/>
        <w:spacing w:line="369" w:lineRule="auto" w:before="96"/>
        <w:ind w:left="171" w:right="142" w:firstLine="676"/>
        <w:jc w:val="both"/>
      </w:pPr>
      <w:r>
        <w:rPr/>
        <w:t>The Council of Minister of the Organization of African Unity, meeting in its Thirty- Second</w:t>
      </w:r>
      <w:r>
        <w:rPr>
          <w:spacing w:val="9"/>
        </w:rPr>
        <w:t> </w:t>
      </w:r>
      <w:r>
        <w:rPr/>
        <w:t>Ordinary</w:t>
      </w:r>
      <w:r>
        <w:rPr>
          <w:spacing w:val="9"/>
        </w:rPr>
        <w:t> </w:t>
      </w:r>
      <w:r>
        <w:rPr/>
        <w:t>Session</w:t>
      </w:r>
      <w:r>
        <w:rPr>
          <w:spacing w:val="8"/>
        </w:rPr>
        <w:t> </w:t>
      </w:r>
      <w:r>
        <w:rPr/>
        <w:t>in</w:t>
      </w:r>
      <w:r>
        <w:rPr>
          <w:spacing w:val="9"/>
        </w:rPr>
        <w:t> </w:t>
      </w:r>
      <w:r>
        <w:rPr/>
        <w:t>Nairobi,</w:t>
      </w:r>
      <w:r>
        <w:rPr>
          <w:spacing w:val="9"/>
        </w:rPr>
        <w:t> </w:t>
      </w:r>
      <w:r>
        <w:rPr/>
        <w:t>Republic</w:t>
      </w:r>
      <w:r>
        <w:rPr>
          <w:spacing w:val="9"/>
        </w:rPr>
        <w:t> </w:t>
      </w:r>
      <w:r>
        <w:rPr/>
        <w:t>of</w:t>
      </w:r>
      <w:r>
        <w:rPr>
          <w:spacing w:val="8"/>
        </w:rPr>
        <w:t> </w:t>
      </w:r>
      <w:r>
        <w:rPr/>
        <w:t>Kenya,</w:t>
      </w:r>
      <w:r>
        <w:rPr>
          <w:spacing w:val="10"/>
        </w:rPr>
        <w:t> </w:t>
      </w:r>
      <w:r>
        <w:rPr/>
        <w:t>from</w:t>
      </w:r>
      <w:r>
        <w:rPr>
          <w:spacing w:val="9"/>
        </w:rPr>
        <w:t> </w:t>
      </w:r>
      <w:r>
        <w:rPr/>
        <w:t>23</w:t>
      </w:r>
      <w:r>
        <w:rPr>
          <w:spacing w:val="10"/>
        </w:rPr>
        <w:t> </w:t>
      </w:r>
      <w:r>
        <w:rPr/>
        <w:t>February</w:t>
      </w:r>
      <w:r>
        <w:rPr>
          <w:spacing w:val="9"/>
        </w:rPr>
        <w:t> </w:t>
      </w:r>
      <w:r>
        <w:rPr/>
        <w:t>to</w:t>
      </w:r>
      <w:r>
        <w:rPr>
          <w:spacing w:val="9"/>
        </w:rPr>
        <w:t> </w:t>
      </w:r>
      <w:r>
        <w:rPr/>
        <w:t>4</w:t>
      </w:r>
      <w:r>
        <w:rPr>
          <w:spacing w:val="10"/>
        </w:rPr>
        <w:t> </w:t>
      </w:r>
      <w:r>
        <w:rPr/>
        <w:t>March,</w:t>
      </w:r>
      <w:r>
        <w:rPr>
          <w:spacing w:val="9"/>
        </w:rPr>
        <w:t> </w:t>
      </w:r>
      <w:r>
        <w:rPr>
          <w:spacing w:val="-2"/>
        </w:rPr>
        <w:t>1979,</w:t>
      </w:r>
    </w:p>
    <w:p>
      <w:pPr>
        <w:pStyle w:val="BodyText"/>
        <w:spacing w:before="7"/>
        <w:rPr>
          <w:sz w:val="33"/>
        </w:rPr>
      </w:pPr>
    </w:p>
    <w:p>
      <w:pPr>
        <w:spacing w:before="1"/>
        <w:ind w:left="848" w:right="0" w:firstLine="0"/>
        <w:jc w:val="left"/>
        <w:rPr>
          <w:sz w:val="22"/>
        </w:rPr>
      </w:pPr>
      <w:r>
        <w:rPr>
          <w:b/>
          <w:sz w:val="22"/>
          <w:u w:val="single"/>
        </w:rPr>
        <w:t>Having</w:t>
      </w:r>
      <w:r>
        <w:rPr>
          <w:b/>
          <w:spacing w:val="76"/>
          <w:sz w:val="22"/>
          <w:u w:val="single"/>
        </w:rPr>
        <w:t> </w:t>
      </w:r>
      <w:r>
        <w:rPr>
          <w:b/>
          <w:sz w:val="22"/>
          <w:u w:val="single"/>
        </w:rPr>
        <w:t>taken</w:t>
      </w:r>
      <w:r>
        <w:rPr>
          <w:b/>
          <w:spacing w:val="76"/>
          <w:sz w:val="22"/>
          <w:u w:val="single"/>
        </w:rPr>
        <w:t> </w:t>
      </w:r>
      <w:r>
        <w:rPr>
          <w:b/>
          <w:sz w:val="22"/>
          <w:u w:val="single"/>
        </w:rPr>
        <w:t>note</w:t>
      </w:r>
      <w:r>
        <w:rPr>
          <w:b/>
          <w:spacing w:val="54"/>
          <w:w w:val="150"/>
          <w:sz w:val="22"/>
        </w:rPr>
        <w:t> </w:t>
      </w:r>
      <w:r>
        <w:rPr>
          <w:sz w:val="22"/>
        </w:rPr>
        <w:t>of</w:t>
      </w:r>
      <w:r>
        <w:rPr>
          <w:spacing w:val="70"/>
          <w:sz w:val="22"/>
        </w:rPr>
        <w:t> </w:t>
      </w:r>
      <w:r>
        <w:rPr>
          <w:sz w:val="22"/>
        </w:rPr>
        <w:t>the</w:t>
      </w:r>
      <w:r>
        <w:rPr>
          <w:spacing w:val="70"/>
          <w:sz w:val="22"/>
        </w:rPr>
        <w:t> </w:t>
      </w:r>
      <w:r>
        <w:rPr>
          <w:sz w:val="22"/>
        </w:rPr>
        <w:t>report</w:t>
      </w:r>
      <w:r>
        <w:rPr>
          <w:spacing w:val="70"/>
          <w:sz w:val="22"/>
        </w:rPr>
        <w:t> </w:t>
      </w:r>
      <w:r>
        <w:rPr>
          <w:sz w:val="22"/>
        </w:rPr>
        <w:t>of</w:t>
      </w:r>
      <w:r>
        <w:rPr>
          <w:spacing w:val="70"/>
          <w:sz w:val="22"/>
        </w:rPr>
        <w:t> </w:t>
      </w:r>
      <w:r>
        <w:rPr>
          <w:sz w:val="22"/>
        </w:rPr>
        <w:t>the</w:t>
      </w:r>
      <w:r>
        <w:rPr>
          <w:spacing w:val="70"/>
          <w:sz w:val="22"/>
        </w:rPr>
        <w:t> </w:t>
      </w:r>
      <w:r>
        <w:rPr>
          <w:sz w:val="22"/>
        </w:rPr>
        <w:t>Administrative</w:t>
      </w:r>
      <w:r>
        <w:rPr>
          <w:spacing w:val="71"/>
          <w:sz w:val="22"/>
        </w:rPr>
        <w:t> </w:t>
      </w:r>
      <w:r>
        <w:rPr>
          <w:sz w:val="22"/>
        </w:rPr>
        <w:t>Secretary-General</w:t>
      </w:r>
      <w:r>
        <w:rPr>
          <w:spacing w:val="67"/>
          <w:sz w:val="22"/>
        </w:rPr>
        <w:t> </w:t>
      </w:r>
      <w:r>
        <w:rPr>
          <w:spacing w:val="-2"/>
          <w:sz w:val="22"/>
        </w:rPr>
        <w:t>(Doc.</w:t>
      </w:r>
    </w:p>
    <w:p>
      <w:pPr>
        <w:pStyle w:val="BodyText"/>
        <w:spacing w:before="135"/>
        <w:ind w:left="171"/>
      </w:pPr>
      <w:r>
        <w:rPr/>
        <w:t>CM/928</w:t>
      </w:r>
      <w:r>
        <w:rPr>
          <w:spacing w:val="6"/>
        </w:rPr>
        <w:t> </w:t>
      </w:r>
      <w:r>
        <w:rPr/>
        <w:t>(XXXII)</w:t>
      </w:r>
      <w:r>
        <w:rPr>
          <w:spacing w:val="6"/>
        </w:rPr>
        <w:t> </w:t>
      </w:r>
      <w:r>
        <w:rPr/>
        <w:t>Part</w:t>
      </w:r>
      <w:r>
        <w:rPr>
          <w:spacing w:val="6"/>
        </w:rPr>
        <w:t> </w:t>
      </w:r>
      <w:r>
        <w:rPr/>
        <w:t>I),</w:t>
      </w:r>
      <w:r>
        <w:rPr>
          <w:spacing w:val="6"/>
        </w:rPr>
        <w:t> </w:t>
      </w:r>
      <w:r>
        <w:rPr/>
        <w:t>especially</w:t>
      </w:r>
      <w:r>
        <w:rPr>
          <w:spacing w:val="5"/>
        </w:rPr>
        <w:t> </w:t>
      </w:r>
      <w:r>
        <w:rPr/>
        <w:t>the</w:t>
      </w:r>
      <w:r>
        <w:rPr>
          <w:spacing w:val="6"/>
        </w:rPr>
        <w:t> </w:t>
      </w:r>
      <w:r>
        <w:rPr/>
        <w:t>chapter</w:t>
      </w:r>
      <w:r>
        <w:rPr>
          <w:spacing w:val="6"/>
        </w:rPr>
        <w:t> </w:t>
      </w:r>
      <w:r>
        <w:rPr/>
        <w:t>relating</w:t>
      </w:r>
      <w:r>
        <w:rPr>
          <w:spacing w:val="5"/>
        </w:rPr>
        <w:t> </w:t>
      </w:r>
      <w:r>
        <w:rPr/>
        <w:t>to</w:t>
      </w:r>
      <w:r>
        <w:rPr>
          <w:spacing w:val="7"/>
        </w:rPr>
        <w:t> </w:t>
      </w:r>
      <w:r>
        <w:rPr>
          <w:spacing w:val="-2"/>
        </w:rPr>
        <w:t>sanctions,</w:t>
      </w:r>
    </w:p>
    <w:p>
      <w:pPr>
        <w:pStyle w:val="BodyText"/>
        <w:rPr>
          <w:sz w:val="24"/>
        </w:rPr>
      </w:pPr>
    </w:p>
    <w:p>
      <w:pPr>
        <w:pStyle w:val="BodyText"/>
        <w:spacing w:before="7"/>
        <w:rPr>
          <w:sz w:val="21"/>
        </w:rPr>
      </w:pPr>
    </w:p>
    <w:p>
      <w:pPr>
        <w:pStyle w:val="BodyText"/>
        <w:spacing w:line="369" w:lineRule="auto" w:before="1"/>
        <w:ind w:left="171" w:right="147" w:firstLine="676"/>
        <w:jc w:val="both"/>
      </w:pPr>
      <w:r>
        <w:rPr>
          <w:b/>
          <w:u w:val="single"/>
        </w:rPr>
        <w:t>Recalling</w:t>
      </w:r>
      <w:r>
        <w:rPr>
          <w:b/>
          <w:spacing w:val="40"/>
        </w:rPr>
        <w:t> </w:t>
      </w:r>
      <w:r>
        <w:rPr/>
        <w:t>the</w:t>
      </w:r>
      <w:r>
        <w:rPr>
          <w:spacing w:val="40"/>
        </w:rPr>
        <w:t> </w:t>
      </w:r>
      <w:r>
        <w:rPr/>
        <w:t>imperative</w:t>
      </w:r>
      <w:r>
        <w:rPr>
          <w:spacing w:val="40"/>
        </w:rPr>
        <w:t> </w:t>
      </w:r>
      <w:r>
        <w:rPr/>
        <w:t>need</w:t>
      </w:r>
      <w:r>
        <w:rPr>
          <w:spacing w:val="40"/>
        </w:rPr>
        <w:t> </w:t>
      </w:r>
      <w:r>
        <w:rPr/>
        <w:t>to</w:t>
      </w:r>
      <w:r>
        <w:rPr>
          <w:spacing w:val="40"/>
        </w:rPr>
        <w:t> </w:t>
      </w:r>
      <w:r>
        <w:rPr/>
        <w:t>isolate</w:t>
      </w:r>
      <w:r>
        <w:rPr>
          <w:spacing w:val="40"/>
        </w:rPr>
        <w:t> </w:t>
      </w:r>
      <w:r>
        <w:rPr/>
        <w:t>the</w:t>
      </w:r>
      <w:r>
        <w:rPr>
          <w:spacing w:val="40"/>
        </w:rPr>
        <w:t> </w:t>
      </w:r>
      <w:r>
        <w:rPr/>
        <w:t>South-African</w:t>
      </w:r>
      <w:r>
        <w:rPr>
          <w:spacing w:val="40"/>
        </w:rPr>
        <w:t> </w:t>
      </w:r>
      <w:r>
        <w:rPr/>
        <w:t>racist</w:t>
      </w:r>
      <w:r>
        <w:rPr>
          <w:spacing w:val="40"/>
        </w:rPr>
        <w:t> </w:t>
      </w:r>
      <w:r>
        <w:rPr/>
        <w:t>regime</w:t>
      </w:r>
      <w:r>
        <w:rPr>
          <w:spacing w:val="40"/>
        </w:rPr>
        <w:t> </w:t>
      </w:r>
      <w:r>
        <w:rPr/>
        <w:t>through strict, vigorous and total application of sanctions in general and oil embargo in particular,</w:t>
      </w:r>
    </w:p>
    <w:p>
      <w:pPr>
        <w:pStyle w:val="BodyText"/>
        <w:rPr>
          <w:sz w:val="34"/>
        </w:rPr>
      </w:pPr>
    </w:p>
    <w:p>
      <w:pPr>
        <w:pStyle w:val="BodyText"/>
        <w:spacing w:line="367" w:lineRule="auto" w:before="1"/>
        <w:ind w:left="171" w:right="157" w:firstLine="676"/>
        <w:jc w:val="both"/>
      </w:pPr>
      <w:r>
        <w:rPr>
          <w:b/>
          <w:u w:val="single"/>
        </w:rPr>
        <w:t>Taking</w:t>
      </w:r>
      <w:r>
        <w:rPr>
          <w:b/>
          <w:spacing w:val="40"/>
          <w:u w:val="single"/>
        </w:rPr>
        <w:t> </w:t>
      </w:r>
      <w:r>
        <w:rPr>
          <w:b/>
          <w:u w:val="single"/>
        </w:rPr>
        <w:t>into</w:t>
      </w:r>
      <w:r>
        <w:rPr>
          <w:b/>
          <w:spacing w:val="40"/>
          <w:u w:val="single"/>
        </w:rPr>
        <w:t> </w:t>
      </w:r>
      <w:r>
        <w:rPr>
          <w:b/>
          <w:u w:val="single"/>
        </w:rPr>
        <w:t>account</w:t>
      </w:r>
      <w:r>
        <w:rPr>
          <w:b/>
          <w:spacing w:val="40"/>
        </w:rPr>
        <w:t> </w:t>
      </w:r>
      <w:r>
        <w:rPr/>
        <w:t>the</w:t>
      </w:r>
      <w:r>
        <w:rPr>
          <w:spacing w:val="40"/>
        </w:rPr>
        <w:t> </w:t>
      </w:r>
      <w:r>
        <w:rPr/>
        <w:t>various</w:t>
      </w:r>
      <w:r>
        <w:rPr>
          <w:spacing w:val="40"/>
        </w:rPr>
        <w:t> </w:t>
      </w:r>
      <w:r>
        <w:rPr/>
        <w:t>resolutions</w:t>
      </w:r>
      <w:r>
        <w:rPr>
          <w:spacing w:val="40"/>
        </w:rPr>
        <w:t> </w:t>
      </w:r>
      <w:r>
        <w:rPr/>
        <w:t>already</w:t>
      </w:r>
      <w:r>
        <w:rPr>
          <w:spacing w:val="40"/>
        </w:rPr>
        <w:t> </w:t>
      </w:r>
      <w:r>
        <w:rPr/>
        <w:t>adopted</w:t>
      </w:r>
      <w:r>
        <w:rPr>
          <w:spacing w:val="40"/>
        </w:rPr>
        <w:t> </w:t>
      </w:r>
      <w:r>
        <w:rPr/>
        <w:t>by</w:t>
      </w:r>
      <w:r>
        <w:rPr>
          <w:spacing w:val="40"/>
        </w:rPr>
        <w:t> </w:t>
      </w:r>
      <w:r>
        <w:rPr/>
        <w:t>the</w:t>
      </w:r>
      <w:r>
        <w:rPr>
          <w:spacing w:val="40"/>
        </w:rPr>
        <w:t> </w:t>
      </w:r>
      <w:r>
        <w:rPr/>
        <w:t>OAU</w:t>
      </w:r>
      <w:r>
        <w:rPr>
          <w:spacing w:val="40"/>
        </w:rPr>
        <w:t> </w:t>
      </w:r>
      <w:r>
        <w:rPr/>
        <w:t>on sanctions, particularly resolution CM/Res. 634 (XXXI) adopted in Khartoum, Sudan, in July </w:t>
      </w:r>
      <w:r>
        <w:rPr>
          <w:spacing w:val="-2"/>
        </w:rPr>
        <w:t>1978,</w:t>
      </w:r>
    </w:p>
    <w:p>
      <w:pPr>
        <w:pStyle w:val="BodyText"/>
        <w:spacing w:before="2"/>
        <w:rPr>
          <w:sz w:val="34"/>
        </w:rPr>
      </w:pPr>
    </w:p>
    <w:p>
      <w:pPr>
        <w:pStyle w:val="BodyText"/>
        <w:spacing w:line="369" w:lineRule="auto" w:before="1"/>
        <w:ind w:left="171" w:right="145" w:firstLine="676"/>
        <w:jc w:val="both"/>
      </w:pPr>
      <w:r>
        <w:rPr>
          <w:b/>
          <w:u w:val="single"/>
        </w:rPr>
        <w:t>Recalling</w:t>
      </w:r>
      <w:r>
        <w:rPr>
          <w:b/>
        </w:rPr>
        <w:t> </w:t>
      </w:r>
      <w:r>
        <w:rPr/>
        <w:t>the categorial refusal of the previous regime of Iran</w:t>
      </w:r>
      <w:r>
        <w:rPr>
          <w:spacing w:val="38"/>
        </w:rPr>
        <w:t> </w:t>
      </w:r>
      <w:r>
        <w:rPr/>
        <w:t>to receive the OAU </w:t>
      </w:r>
      <w:r>
        <w:rPr>
          <w:u w:val="single"/>
        </w:rPr>
        <w:t>Ad</w:t>
      </w:r>
      <w:r>
        <w:rPr/>
        <w:t> </w:t>
      </w:r>
      <w:r>
        <w:rPr>
          <w:u w:val="single"/>
        </w:rPr>
        <w:t>Hoc</w:t>
      </w:r>
      <w:r>
        <w:rPr/>
        <w:t> Committee on oil embargo and to consult with it on the best ways to apply oil sanctions,</w:t>
      </w:r>
    </w:p>
    <w:p>
      <w:pPr>
        <w:pStyle w:val="BodyText"/>
        <w:spacing w:before="7"/>
        <w:rPr>
          <w:sz w:val="33"/>
        </w:rPr>
      </w:pPr>
    </w:p>
    <w:p>
      <w:pPr>
        <w:pStyle w:val="BodyText"/>
        <w:spacing w:line="369" w:lineRule="auto"/>
        <w:ind w:left="171" w:right="151" w:firstLine="676"/>
        <w:jc w:val="both"/>
      </w:pPr>
      <w:r>
        <w:rPr>
          <w:b/>
          <w:u w:val="single"/>
        </w:rPr>
        <w:t>Welcoming with deep appreciation</w:t>
      </w:r>
      <w:r>
        <w:rPr>
          <w:b/>
        </w:rPr>
        <w:t> </w:t>
      </w:r>
      <w:r>
        <w:rPr/>
        <w:t>the friendly and encouraging decision of the revolutionary Government of Iran who clearly indicated that henceforth Iran would no longer supply oil to the racist regimes of Southern Africa as well as the Zionist regime of Israel,</w:t>
      </w:r>
    </w:p>
    <w:p>
      <w:pPr>
        <w:pStyle w:val="BodyText"/>
        <w:spacing w:before="1"/>
        <w:rPr>
          <w:sz w:val="34"/>
        </w:rPr>
      </w:pPr>
    </w:p>
    <w:p>
      <w:pPr>
        <w:pStyle w:val="BodyText"/>
        <w:spacing w:line="367" w:lineRule="auto"/>
        <w:ind w:left="171" w:right="153" w:firstLine="676"/>
        <w:jc w:val="both"/>
      </w:pPr>
      <w:r>
        <w:rPr>
          <w:b/>
          <w:u w:val="single"/>
        </w:rPr>
        <w:t>Convinced</w:t>
      </w:r>
      <w:r>
        <w:rPr>
          <w:b/>
        </w:rPr>
        <w:t> </w:t>
      </w:r>
      <w:r>
        <w:rPr/>
        <w:t>that a total oil and trade embargo would weaken the racist and minority regimes of Southern Africa considerably and</w:t>
      </w:r>
      <w:r>
        <w:rPr>
          <w:spacing w:val="40"/>
        </w:rPr>
        <w:t> </w:t>
      </w:r>
      <w:r>
        <w:rPr/>
        <w:t>would undoubtedly accelare the liberation</w:t>
      </w:r>
      <w:r>
        <w:rPr>
          <w:spacing w:val="80"/>
        </w:rPr>
        <w:t> </w:t>
      </w:r>
      <w:r>
        <w:rPr/>
        <w:t>process of the oppressed peoples of Southern Africa from the racist and colonialist yoke:</w:t>
      </w:r>
    </w:p>
    <w:p>
      <w:pPr>
        <w:pStyle w:val="BodyText"/>
        <w:spacing w:before="3"/>
        <w:rPr>
          <w:sz w:val="34"/>
        </w:rPr>
      </w:pPr>
    </w:p>
    <w:p>
      <w:pPr>
        <w:pStyle w:val="ListParagraph"/>
        <w:numPr>
          <w:ilvl w:val="0"/>
          <w:numId w:val="1"/>
        </w:numPr>
        <w:tabs>
          <w:tab w:pos="1185" w:val="left" w:leader="none"/>
        </w:tabs>
        <w:spacing w:line="369" w:lineRule="auto" w:before="0" w:after="0"/>
        <w:ind w:left="1184" w:right="171" w:hanging="336"/>
        <w:jc w:val="left"/>
        <w:rPr>
          <w:sz w:val="22"/>
        </w:rPr>
      </w:pPr>
      <w:r>
        <w:rPr>
          <w:b/>
          <w:sz w:val="22"/>
        </w:rPr>
        <w:t>TAKES</w:t>
      </w:r>
      <w:r>
        <w:rPr>
          <w:b/>
          <w:spacing w:val="40"/>
          <w:sz w:val="22"/>
        </w:rPr>
        <w:t> </w:t>
      </w:r>
      <w:r>
        <w:rPr>
          <w:b/>
          <w:sz w:val="22"/>
        </w:rPr>
        <w:t>NOTE</w:t>
      </w:r>
      <w:r>
        <w:rPr>
          <w:b/>
          <w:spacing w:val="40"/>
          <w:sz w:val="22"/>
        </w:rPr>
        <w:t> </w:t>
      </w:r>
      <w:r>
        <w:rPr>
          <w:sz w:val="22"/>
        </w:rPr>
        <w:t>of</w:t>
      </w:r>
      <w:r>
        <w:rPr>
          <w:spacing w:val="40"/>
          <w:sz w:val="22"/>
        </w:rPr>
        <w:t> </w:t>
      </w:r>
      <w:r>
        <w:rPr>
          <w:sz w:val="22"/>
        </w:rPr>
        <w:t>the</w:t>
      </w:r>
      <w:r>
        <w:rPr>
          <w:spacing w:val="40"/>
          <w:sz w:val="22"/>
        </w:rPr>
        <w:t> </w:t>
      </w:r>
      <w:r>
        <w:rPr>
          <w:sz w:val="22"/>
        </w:rPr>
        <w:t>part</w:t>
      </w:r>
      <w:r>
        <w:rPr>
          <w:spacing w:val="40"/>
          <w:sz w:val="22"/>
        </w:rPr>
        <w:t> </w:t>
      </w:r>
      <w:r>
        <w:rPr>
          <w:sz w:val="22"/>
        </w:rPr>
        <w:t>of</w:t>
      </w:r>
      <w:r>
        <w:rPr>
          <w:spacing w:val="40"/>
          <w:sz w:val="22"/>
        </w:rPr>
        <w:t> </w:t>
      </w:r>
      <w:r>
        <w:rPr>
          <w:sz w:val="22"/>
        </w:rPr>
        <w:t>the</w:t>
      </w:r>
      <w:r>
        <w:rPr>
          <w:spacing w:val="40"/>
          <w:sz w:val="22"/>
        </w:rPr>
        <w:t> </w:t>
      </w:r>
      <w:r>
        <w:rPr>
          <w:sz w:val="22"/>
        </w:rPr>
        <w:t>Administrative</w:t>
      </w:r>
      <w:r>
        <w:rPr>
          <w:spacing w:val="40"/>
          <w:sz w:val="22"/>
        </w:rPr>
        <w:t> </w:t>
      </w:r>
      <w:r>
        <w:rPr>
          <w:sz w:val="22"/>
        </w:rPr>
        <w:t>Secretary-General’s</w:t>
      </w:r>
      <w:r>
        <w:rPr>
          <w:spacing w:val="40"/>
          <w:sz w:val="22"/>
        </w:rPr>
        <w:t> </w:t>
      </w:r>
      <w:r>
        <w:rPr>
          <w:sz w:val="22"/>
        </w:rPr>
        <w:t>Report,</w:t>
      </w:r>
      <w:r>
        <w:rPr>
          <w:spacing w:val="40"/>
          <w:sz w:val="22"/>
        </w:rPr>
        <w:t> </w:t>
      </w:r>
      <w:r>
        <w:rPr>
          <w:sz w:val="22"/>
        </w:rPr>
        <w:t>relating to sanctions;</w:t>
      </w:r>
    </w:p>
    <w:p>
      <w:pPr>
        <w:pStyle w:val="BodyText"/>
        <w:spacing w:before="7"/>
        <w:rPr>
          <w:sz w:val="33"/>
        </w:rPr>
      </w:pPr>
    </w:p>
    <w:p>
      <w:pPr>
        <w:pStyle w:val="ListParagraph"/>
        <w:numPr>
          <w:ilvl w:val="0"/>
          <w:numId w:val="1"/>
        </w:numPr>
        <w:tabs>
          <w:tab w:pos="1185" w:val="left" w:leader="none"/>
        </w:tabs>
        <w:spacing w:line="369" w:lineRule="auto" w:before="1" w:after="0"/>
        <w:ind w:left="1184" w:right="153" w:hanging="336"/>
        <w:jc w:val="left"/>
        <w:rPr>
          <w:sz w:val="22"/>
        </w:rPr>
      </w:pPr>
      <w:r>
        <w:rPr>
          <w:b/>
          <w:sz w:val="22"/>
        </w:rPr>
        <w:t>REAFFIRMS</w:t>
      </w:r>
      <w:r>
        <w:rPr>
          <w:b/>
          <w:spacing w:val="40"/>
          <w:sz w:val="22"/>
        </w:rPr>
        <w:t> </w:t>
      </w:r>
      <w:r>
        <w:rPr>
          <w:sz w:val="22"/>
        </w:rPr>
        <w:t>its</w:t>
      </w:r>
      <w:r>
        <w:rPr>
          <w:spacing w:val="40"/>
          <w:sz w:val="22"/>
        </w:rPr>
        <w:t> </w:t>
      </w:r>
      <w:r>
        <w:rPr>
          <w:sz w:val="22"/>
        </w:rPr>
        <w:t>strong</w:t>
      </w:r>
      <w:r>
        <w:rPr>
          <w:spacing w:val="80"/>
          <w:w w:val="150"/>
          <w:sz w:val="22"/>
        </w:rPr>
        <w:t> </w:t>
      </w:r>
      <w:r>
        <w:rPr>
          <w:sz w:val="22"/>
        </w:rPr>
        <w:t>determination</w:t>
      </w:r>
      <w:r>
        <w:rPr>
          <w:spacing w:val="40"/>
          <w:sz w:val="22"/>
        </w:rPr>
        <w:t> </w:t>
      </w:r>
      <w:r>
        <w:rPr>
          <w:sz w:val="22"/>
        </w:rPr>
        <w:t>to</w:t>
      </w:r>
      <w:r>
        <w:rPr>
          <w:spacing w:val="40"/>
          <w:sz w:val="22"/>
        </w:rPr>
        <w:t> </w:t>
      </w:r>
      <w:r>
        <w:rPr>
          <w:sz w:val="22"/>
        </w:rPr>
        <w:t>completely</w:t>
      </w:r>
      <w:r>
        <w:rPr>
          <w:spacing w:val="40"/>
          <w:sz w:val="22"/>
        </w:rPr>
        <w:t> </w:t>
      </w:r>
      <w:r>
        <w:rPr>
          <w:sz w:val="22"/>
        </w:rPr>
        <w:t>isolate</w:t>
      </w:r>
      <w:r>
        <w:rPr>
          <w:spacing w:val="40"/>
          <w:sz w:val="22"/>
        </w:rPr>
        <w:t> </w:t>
      </w:r>
      <w:r>
        <w:rPr>
          <w:sz w:val="22"/>
        </w:rPr>
        <w:t>the</w:t>
      </w:r>
      <w:r>
        <w:rPr>
          <w:spacing w:val="40"/>
          <w:sz w:val="22"/>
        </w:rPr>
        <w:t> </w:t>
      </w:r>
      <w:r>
        <w:rPr>
          <w:sz w:val="22"/>
        </w:rPr>
        <w:t>imposition</w:t>
      </w:r>
      <w:r>
        <w:rPr>
          <w:spacing w:val="40"/>
          <w:sz w:val="22"/>
        </w:rPr>
        <w:t> </w:t>
      </w:r>
      <w:r>
        <w:rPr>
          <w:sz w:val="22"/>
        </w:rPr>
        <w:t>of total and complete sanctions, including an effective oil and trade embargo;</w:t>
      </w:r>
    </w:p>
    <w:p>
      <w:pPr>
        <w:spacing w:after="0" w:line="369" w:lineRule="auto"/>
        <w:jc w:val="left"/>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7" w:lineRule="auto" w:before="85" w:after="0"/>
        <w:ind w:left="1184" w:right="144" w:hanging="336"/>
        <w:jc w:val="both"/>
        <w:rPr>
          <w:sz w:val="22"/>
        </w:rPr>
      </w:pPr>
      <w:r>
        <w:rPr>
          <w:b/>
          <w:sz w:val="22"/>
        </w:rPr>
        <w:t>APPEALS </w:t>
      </w:r>
      <w:r>
        <w:rPr>
          <w:sz w:val="22"/>
        </w:rPr>
        <w:t>once again to all countries, especially to certain Western countries and Japan</w:t>
      </w:r>
      <w:r>
        <w:rPr>
          <w:spacing w:val="40"/>
          <w:sz w:val="22"/>
        </w:rPr>
        <w:t> </w:t>
      </w:r>
      <w:r>
        <w:rPr>
          <w:sz w:val="22"/>
        </w:rPr>
        <w:t>to</w:t>
      </w:r>
      <w:r>
        <w:rPr>
          <w:spacing w:val="40"/>
          <w:sz w:val="22"/>
        </w:rPr>
        <w:t> </w:t>
      </w:r>
      <w:r>
        <w:rPr>
          <w:sz w:val="22"/>
        </w:rPr>
        <w:t>server</w:t>
      </w:r>
      <w:r>
        <w:rPr>
          <w:spacing w:val="40"/>
          <w:sz w:val="22"/>
        </w:rPr>
        <w:t> </w:t>
      </w:r>
      <w:r>
        <w:rPr>
          <w:sz w:val="22"/>
        </w:rPr>
        <w:t>their</w:t>
      </w:r>
      <w:r>
        <w:rPr>
          <w:spacing w:val="40"/>
          <w:sz w:val="22"/>
        </w:rPr>
        <w:t> </w:t>
      </w:r>
      <w:r>
        <w:rPr>
          <w:sz w:val="22"/>
        </w:rPr>
        <w:t>political,</w:t>
      </w:r>
      <w:r>
        <w:rPr>
          <w:spacing w:val="40"/>
          <w:sz w:val="22"/>
        </w:rPr>
        <w:t> </w:t>
      </w:r>
      <w:r>
        <w:rPr>
          <w:sz w:val="22"/>
        </w:rPr>
        <w:t>economic</w:t>
      </w:r>
      <w:r>
        <w:rPr>
          <w:spacing w:val="40"/>
          <w:sz w:val="22"/>
        </w:rPr>
        <w:t> </w:t>
      </w:r>
      <w:r>
        <w:rPr>
          <w:sz w:val="22"/>
        </w:rPr>
        <w:t>and</w:t>
      </w:r>
      <w:r>
        <w:rPr>
          <w:spacing w:val="40"/>
          <w:sz w:val="22"/>
        </w:rPr>
        <w:t> </w:t>
      </w:r>
      <w:r>
        <w:rPr>
          <w:sz w:val="22"/>
        </w:rPr>
        <w:t>other</w:t>
      </w:r>
      <w:r>
        <w:rPr>
          <w:spacing w:val="40"/>
          <w:sz w:val="22"/>
        </w:rPr>
        <w:t> </w:t>
      </w:r>
      <w:r>
        <w:rPr>
          <w:sz w:val="22"/>
        </w:rPr>
        <w:t>relations</w:t>
      </w:r>
      <w:r>
        <w:rPr>
          <w:spacing w:val="40"/>
          <w:sz w:val="22"/>
        </w:rPr>
        <w:t> </w:t>
      </w:r>
      <w:r>
        <w:rPr>
          <w:sz w:val="22"/>
        </w:rPr>
        <w:t>with</w:t>
      </w:r>
      <w:r>
        <w:rPr>
          <w:spacing w:val="40"/>
          <w:sz w:val="22"/>
        </w:rPr>
        <w:t> </w:t>
      </w:r>
      <w:r>
        <w:rPr>
          <w:sz w:val="22"/>
        </w:rPr>
        <w:t>the</w:t>
      </w:r>
      <w:r>
        <w:rPr>
          <w:spacing w:val="40"/>
          <w:sz w:val="22"/>
        </w:rPr>
        <w:t> </w:t>
      </w:r>
      <w:r>
        <w:rPr>
          <w:sz w:val="22"/>
        </w:rPr>
        <w:t>racist minority regimes in Southern Africa in pursuance of the relevant OAU and UN General Assembly resolutions;</w:t>
      </w:r>
    </w:p>
    <w:p>
      <w:pPr>
        <w:pStyle w:val="BodyText"/>
        <w:spacing w:before="5"/>
        <w:rPr>
          <w:sz w:val="34"/>
        </w:rPr>
      </w:pPr>
    </w:p>
    <w:p>
      <w:pPr>
        <w:pStyle w:val="ListParagraph"/>
        <w:numPr>
          <w:ilvl w:val="0"/>
          <w:numId w:val="1"/>
        </w:numPr>
        <w:tabs>
          <w:tab w:pos="1185" w:val="left" w:leader="none"/>
        </w:tabs>
        <w:spacing w:line="369" w:lineRule="auto" w:before="0" w:after="0"/>
        <w:ind w:left="1184" w:right="147" w:hanging="336"/>
        <w:jc w:val="both"/>
        <w:rPr>
          <w:sz w:val="22"/>
        </w:rPr>
      </w:pPr>
      <w:r>
        <w:rPr>
          <w:b/>
          <w:sz w:val="22"/>
        </w:rPr>
        <w:t>EXPRESSES</w:t>
      </w:r>
      <w:r>
        <w:rPr>
          <w:b/>
          <w:spacing w:val="38"/>
          <w:sz w:val="22"/>
        </w:rPr>
        <w:t> </w:t>
      </w:r>
      <w:r>
        <w:rPr>
          <w:sz w:val="22"/>
        </w:rPr>
        <w:t>its</w:t>
      </w:r>
      <w:r>
        <w:rPr>
          <w:spacing w:val="26"/>
          <w:sz w:val="22"/>
        </w:rPr>
        <w:t> </w:t>
      </w:r>
      <w:r>
        <w:rPr>
          <w:sz w:val="22"/>
        </w:rPr>
        <w:t>satisfaction</w:t>
      </w:r>
      <w:r>
        <w:rPr>
          <w:spacing w:val="26"/>
          <w:sz w:val="22"/>
        </w:rPr>
        <w:t> </w:t>
      </w:r>
      <w:r>
        <w:rPr>
          <w:sz w:val="22"/>
        </w:rPr>
        <w:t>with</w:t>
      </w:r>
      <w:r>
        <w:rPr>
          <w:spacing w:val="26"/>
          <w:sz w:val="22"/>
        </w:rPr>
        <w:t> </w:t>
      </w:r>
      <w:r>
        <w:rPr>
          <w:sz w:val="22"/>
        </w:rPr>
        <w:t>the</w:t>
      </w:r>
      <w:r>
        <w:rPr>
          <w:spacing w:val="27"/>
          <w:sz w:val="22"/>
        </w:rPr>
        <w:t> </w:t>
      </w:r>
      <w:r>
        <w:rPr>
          <w:sz w:val="22"/>
        </w:rPr>
        <w:t>revolutionary</w:t>
      </w:r>
      <w:r>
        <w:rPr>
          <w:spacing w:val="26"/>
          <w:sz w:val="22"/>
        </w:rPr>
        <w:t> </w:t>
      </w:r>
      <w:r>
        <w:rPr>
          <w:sz w:val="22"/>
        </w:rPr>
        <w:t>act</w:t>
      </w:r>
      <w:r>
        <w:rPr>
          <w:spacing w:val="26"/>
          <w:sz w:val="22"/>
        </w:rPr>
        <w:t> </w:t>
      </w:r>
      <w:r>
        <w:rPr>
          <w:sz w:val="22"/>
        </w:rPr>
        <w:t>of</w:t>
      </w:r>
      <w:r>
        <w:rPr>
          <w:spacing w:val="26"/>
          <w:sz w:val="22"/>
        </w:rPr>
        <w:t> </w:t>
      </w:r>
      <w:r>
        <w:rPr>
          <w:sz w:val="22"/>
        </w:rPr>
        <w:t>solidarity</w:t>
      </w:r>
      <w:r>
        <w:rPr>
          <w:spacing w:val="26"/>
          <w:sz w:val="22"/>
        </w:rPr>
        <w:t> </w:t>
      </w:r>
      <w:r>
        <w:rPr>
          <w:sz w:val="22"/>
        </w:rPr>
        <w:t>and</w:t>
      </w:r>
      <w:r>
        <w:rPr>
          <w:spacing w:val="28"/>
          <w:sz w:val="22"/>
        </w:rPr>
        <w:t> </w:t>
      </w:r>
      <w:r>
        <w:rPr>
          <w:sz w:val="22"/>
        </w:rPr>
        <w:t>courage of</w:t>
      </w:r>
      <w:r>
        <w:rPr>
          <w:spacing w:val="37"/>
          <w:sz w:val="22"/>
        </w:rPr>
        <w:t> </w:t>
      </w:r>
      <w:r>
        <w:rPr>
          <w:sz w:val="22"/>
        </w:rPr>
        <w:t>the</w:t>
      </w:r>
      <w:r>
        <w:rPr>
          <w:spacing w:val="37"/>
          <w:sz w:val="22"/>
        </w:rPr>
        <w:t> </w:t>
      </w:r>
      <w:r>
        <w:rPr>
          <w:sz w:val="22"/>
        </w:rPr>
        <w:t>present</w:t>
      </w:r>
      <w:r>
        <w:rPr>
          <w:spacing w:val="37"/>
          <w:sz w:val="22"/>
        </w:rPr>
        <w:t> </w:t>
      </w:r>
      <w:r>
        <w:rPr>
          <w:sz w:val="22"/>
        </w:rPr>
        <w:t>Government</w:t>
      </w:r>
      <w:r>
        <w:rPr>
          <w:spacing w:val="37"/>
          <w:sz w:val="22"/>
        </w:rPr>
        <w:t> </w:t>
      </w:r>
      <w:r>
        <w:rPr>
          <w:sz w:val="22"/>
        </w:rPr>
        <w:t>of</w:t>
      </w:r>
      <w:r>
        <w:rPr>
          <w:spacing w:val="37"/>
          <w:sz w:val="22"/>
        </w:rPr>
        <w:t> </w:t>
      </w:r>
      <w:r>
        <w:rPr>
          <w:sz w:val="22"/>
        </w:rPr>
        <w:t>Iran</w:t>
      </w:r>
      <w:r>
        <w:rPr>
          <w:spacing w:val="37"/>
          <w:sz w:val="22"/>
        </w:rPr>
        <w:t> </w:t>
      </w:r>
      <w:r>
        <w:rPr>
          <w:sz w:val="22"/>
        </w:rPr>
        <w:t>in</w:t>
      </w:r>
      <w:r>
        <w:rPr>
          <w:spacing w:val="37"/>
          <w:sz w:val="22"/>
        </w:rPr>
        <w:t> </w:t>
      </w:r>
      <w:r>
        <w:rPr>
          <w:sz w:val="22"/>
        </w:rPr>
        <w:t>applying</w:t>
      </w:r>
      <w:r>
        <w:rPr>
          <w:spacing w:val="33"/>
          <w:sz w:val="22"/>
        </w:rPr>
        <w:t> </w:t>
      </w:r>
      <w:r>
        <w:rPr>
          <w:sz w:val="22"/>
        </w:rPr>
        <w:t>an</w:t>
      </w:r>
      <w:r>
        <w:rPr>
          <w:spacing w:val="33"/>
          <w:sz w:val="22"/>
        </w:rPr>
        <w:t> </w:t>
      </w:r>
      <w:r>
        <w:rPr>
          <w:sz w:val="22"/>
        </w:rPr>
        <w:t>oil</w:t>
      </w:r>
      <w:r>
        <w:rPr>
          <w:spacing w:val="33"/>
          <w:sz w:val="22"/>
        </w:rPr>
        <w:t> </w:t>
      </w:r>
      <w:r>
        <w:rPr>
          <w:sz w:val="22"/>
        </w:rPr>
        <w:t>embargo</w:t>
      </w:r>
      <w:r>
        <w:rPr>
          <w:spacing w:val="34"/>
          <w:sz w:val="22"/>
        </w:rPr>
        <w:t> </w:t>
      </w:r>
      <w:r>
        <w:rPr>
          <w:sz w:val="22"/>
        </w:rPr>
        <w:t>against</w:t>
      </w:r>
      <w:r>
        <w:rPr>
          <w:spacing w:val="33"/>
          <w:sz w:val="22"/>
        </w:rPr>
        <w:t> </w:t>
      </w:r>
      <w:r>
        <w:rPr>
          <w:sz w:val="22"/>
        </w:rPr>
        <w:t>the</w:t>
      </w:r>
      <w:r>
        <w:rPr>
          <w:spacing w:val="34"/>
          <w:sz w:val="22"/>
        </w:rPr>
        <w:t> </w:t>
      </w:r>
      <w:r>
        <w:rPr>
          <w:sz w:val="22"/>
        </w:rPr>
        <w:t>racist and minority regimes of Southern Africa and against the Zionist regime of Israel;</w:t>
      </w:r>
    </w:p>
    <w:p>
      <w:pPr>
        <w:pStyle w:val="BodyText"/>
        <w:spacing w:before="7"/>
        <w:rPr>
          <w:sz w:val="33"/>
        </w:rPr>
      </w:pPr>
    </w:p>
    <w:p>
      <w:pPr>
        <w:pStyle w:val="ListParagraph"/>
        <w:numPr>
          <w:ilvl w:val="0"/>
          <w:numId w:val="1"/>
        </w:numPr>
        <w:tabs>
          <w:tab w:pos="1185" w:val="left" w:leader="none"/>
        </w:tabs>
        <w:spacing w:line="369" w:lineRule="auto" w:before="0" w:after="0"/>
        <w:ind w:left="1184" w:right="148" w:hanging="336"/>
        <w:jc w:val="both"/>
        <w:rPr>
          <w:sz w:val="22"/>
        </w:rPr>
      </w:pPr>
      <w:r>
        <w:rPr>
          <w:b/>
          <w:sz w:val="22"/>
        </w:rPr>
        <w:t>URGENTLY APPEALS</w:t>
      </w:r>
      <w:r>
        <w:rPr>
          <w:b/>
          <w:spacing w:val="33"/>
          <w:sz w:val="22"/>
        </w:rPr>
        <w:t> </w:t>
      </w:r>
      <w:r>
        <w:rPr>
          <w:sz w:val="22"/>
        </w:rPr>
        <w:t>to Iran and to all OPEC countries as well as all other oil exporting countries with a view to compelling the international oil companies to apply the embargo decided by the United Nations against the racist minority</w:t>
      </w:r>
      <w:r>
        <w:rPr>
          <w:spacing w:val="80"/>
          <w:sz w:val="22"/>
        </w:rPr>
        <w:t> </w:t>
      </w:r>
      <w:r>
        <w:rPr>
          <w:sz w:val="22"/>
        </w:rPr>
        <w:t>regimes of Southern Africa, by stopping supplying them with oil and by ensuring that oil does not reach them indirectly;</w:t>
      </w:r>
    </w:p>
    <w:p>
      <w:pPr>
        <w:pStyle w:val="BodyText"/>
        <w:spacing w:before="5"/>
        <w:rPr>
          <w:sz w:val="33"/>
        </w:rPr>
      </w:pPr>
    </w:p>
    <w:p>
      <w:pPr>
        <w:pStyle w:val="ListParagraph"/>
        <w:numPr>
          <w:ilvl w:val="0"/>
          <w:numId w:val="1"/>
        </w:numPr>
        <w:tabs>
          <w:tab w:pos="1185" w:val="left" w:leader="none"/>
        </w:tabs>
        <w:spacing w:line="369" w:lineRule="auto" w:before="1" w:after="0"/>
        <w:ind w:left="1184" w:right="141" w:hanging="336"/>
        <w:jc w:val="both"/>
        <w:rPr>
          <w:sz w:val="22"/>
        </w:rPr>
      </w:pPr>
      <w:r>
        <w:rPr>
          <w:b/>
          <w:sz w:val="22"/>
        </w:rPr>
        <w:t>CALLS UPON </w:t>
      </w:r>
      <w:r>
        <w:rPr>
          <w:sz w:val="22"/>
        </w:rPr>
        <w:t>the OAU Standing Committee on Sanctions to immediately establish contacts with the Government of Iran, and all OPEC Countries as well as any other country producing and exporting crude or refined oil with a view to divising the best ways and means of ensuring effective oil embargo against the</w:t>
      </w:r>
      <w:r>
        <w:rPr>
          <w:spacing w:val="80"/>
          <w:sz w:val="22"/>
        </w:rPr>
        <w:t> </w:t>
      </w:r>
      <w:r>
        <w:rPr>
          <w:sz w:val="22"/>
        </w:rPr>
        <w:t>racist and minority regimes of Southern Africa.</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15"/>
                  </w:rPr>
                  <w:t> </w:t>
                </w:r>
                <w:r>
                  <w:rPr/>
                  <w:t>685</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7"/>
      </w:pPr>
      <w:rPr>
        <w:rFonts w:hint="default"/>
        <w:lang w:val="en-US" w:eastAsia="en-US" w:bidi="ar-SA"/>
      </w:rPr>
    </w:lvl>
    <w:lvl w:ilvl="2">
      <w:start w:val="0"/>
      <w:numFmt w:val="bullet"/>
      <w:lvlText w:val="•"/>
      <w:lvlJc w:val="left"/>
      <w:pPr>
        <w:ind w:left="2704" w:hanging="337"/>
      </w:pPr>
      <w:rPr>
        <w:rFonts w:hint="default"/>
        <w:lang w:val="en-US" w:eastAsia="en-US" w:bidi="ar-SA"/>
      </w:rPr>
    </w:lvl>
    <w:lvl w:ilvl="3">
      <w:start w:val="0"/>
      <w:numFmt w:val="bullet"/>
      <w:lvlText w:val="•"/>
      <w:lvlJc w:val="left"/>
      <w:pPr>
        <w:ind w:left="3466" w:hanging="337"/>
      </w:pPr>
      <w:rPr>
        <w:rFonts w:hint="default"/>
        <w:lang w:val="en-US" w:eastAsia="en-US" w:bidi="ar-SA"/>
      </w:rPr>
    </w:lvl>
    <w:lvl w:ilvl="4">
      <w:start w:val="0"/>
      <w:numFmt w:val="bullet"/>
      <w:lvlText w:val="•"/>
      <w:lvlJc w:val="left"/>
      <w:pPr>
        <w:ind w:left="4228" w:hanging="337"/>
      </w:pPr>
      <w:rPr>
        <w:rFonts w:hint="default"/>
        <w:lang w:val="en-US" w:eastAsia="en-US" w:bidi="ar-SA"/>
      </w:rPr>
    </w:lvl>
    <w:lvl w:ilvl="5">
      <w:start w:val="0"/>
      <w:numFmt w:val="bullet"/>
      <w:lvlText w:val="•"/>
      <w:lvlJc w:val="left"/>
      <w:pPr>
        <w:ind w:left="4990" w:hanging="337"/>
      </w:pPr>
      <w:rPr>
        <w:rFonts w:hint="default"/>
        <w:lang w:val="en-US" w:eastAsia="en-US" w:bidi="ar-SA"/>
      </w:rPr>
    </w:lvl>
    <w:lvl w:ilvl="6">
      <w:start w:val="0"/>
      <w:numFmt w:val="bullet"/>
      <w:lvlText w:val="•"/>
      <w:lvlJc w:val="left"/>
      <w:pPr>
        <w:ind w:left="5752" w:hanging="337"/>
      </w:pPr>
      <w:rPr>
        <w:rFonts w:hint="default"/>
        <w:lang w:val="en-US" w:eastAsia="en-US" w:bidi="ar-SA"/>
      </w:rPr>
    </w:lvl>
    <w:lvl w:ilvl="7">
      <w:start w:val="0"/>
      <w:numFmt w:val="bullet"/>
      <w:lvlText w:val="•"/>
      <w:lvlJc w:val="left"/>
      <w:pPr>
        <w:ind w:left="6514" w:hanging="337"/>
      </w:pPr>
      <w:rPr>
        <w:rFonts w:hint="default"/>
        <w:lang w:val="en-US" w:eastAsia="en-US" w:bidi="ar-SA"/>
      </w:rPr>
    </w:lvl>
    <w:lvl w:ilvl="8">
      <w:start w:val="0"/>
      <w:numFmt w:val="bullet"/>
      <w:lvlText w:val="•"/>
      <w:lvlJc w:val="left"/>
      <w:pPr>
        <w:ind w:left="7276"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669" w:right="1643"/>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2023-06-07T08:58:47Z</dcterms:created>
  <dcterms:modified xsi:type="dcterms:W3CDTF">2023-06-07T08:58:47Z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