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687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ind w:left="1283" w:right="1299"/>
        <w:jc w:val="center"/>
        <w:rPr>
          <w:u w:val="none"/>
        </w:rPr>
      </w:pPr>
      <w:r>
        <w:rPr>
          <w:u w:val="single"/>
        </w:rPr>
        <w:t>RESOLUTION</w:t>
      </w:r>
      <w:r>
        <w:rPr>
          <w:spacing w:val="5"/>
          <w:u w:val="single"/>
        </w:rPr>
        <w:t> </w:t>
      </w:r>
      <w:r>
        <w:rPr>
          <w:u w:val="single"/>
        </w:rPr>
        <w:t>ON</w:t>
      </w:r>
      <w:r>
        <w:rPr>
          <w:spacing w:val="5"/>
          <w:u w:val="single"/>
        </w:rPr>
        <w:t> </w:t>
      </w:r>
      <w:r>
        <w:rPr>
          <w:u w:val="single"/>
        </w:rPr>
        <w:t>THE</w:t>
      </w:r>
      <w:r>
        <w:rPr>
          <w:spacing w:val="5"/>
          <w:u w:val="single"/>
        </w:rPr>
        <w:t> </w:t>
      </w:r>
      <w:r>
        <w:rPr>
          <w:u w:val="single"/>
        </w:rPr>
        <w:t>OAU</w:t>
      </w:r>
      <w:r>
        <w:rPr>
          <w:spacing w:val="5"/>
          <w:u w:val="single"/>
        </w:rPr>
        <w:t> </w:t>
      </w:r>
      <w:r>
        <w:rPr>
          <w:u w:val="single"/>
        </w:rPr>
        <w:t>ADMINISTRATIVE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TRIBUNAL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28"/>
        </w:rPr>
        <w:t> </w:t>
      </w:r>
      <w:r>
        <w:rPr/>
        <w:t>Council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Minister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Organization</w:t>
      </w:r>
      <w:r>
        <w:rPr>
          <w:spacing w:val="35"/>
        </w:rPr>
        <w:t> </w:t>
      </w:r>
      <w:r>
        <w:rPr/>
        <w:t>of</w:t>
      </w:r>
      <w:r>
        <w:rPr>
          <w:spacing w:val="26"/>
        </w:rPr>
        <w:t> </w:t>
      </w:r>
      <w:r>
        <w:rPr/>
        <w:t>African</w:t>
      </w:r>
      <w:r>
        <w:rPr>
          <w:spacing w:val="26"/>
        </w:rPr>
        <w:t> </w:t>
      </w:r>
      <w:r>
        <w:rPr/>
        <w:t>Unity,</w:t>
      </w:r>
      <w:r>
        <w:rPr>
          <w:spacing w:val="27"/>
        </w:rPr>
        <w:t> </w:t>
      </w:r>
      <w:r>
        <w:rPr/>
        <w:t>meeting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its</w:t>
      </w:r>
      <w:r>
        <w:rPr>
          <w:spacing w:val="26"/>
        </w:rPr>
        <w:t> </w:t>
      </w:r>
      <w:r>
        <w:rPr/>
        <w:t>Thirty- Second</w:t>
      </w:r>
      <w:r>
        <w:rPr>
          <w:spacing w:val="9"/>
        </w:rPr>
        <w:t> </w:t>
      </w:r>
      <w:r>
        <w:rPr/>
        <w:t>Ordinary</w:t>
      </w:r>
      <w:r>
        <w:rPr>
          <w:spacing w:val="9"/>
        </w:rPr>
        <w:t> </w:t>
      </w:r>
      <w:r>
        <w:rPr/>
        <w:t>Session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Nairobi,</w:t>
      </w:r>
      <w:r>
        <w:rPr>
          <w:spacing w:val="9"/>
        </w:rPr>
        <w:t> </w:t>
      </w:r>
      <w:r>
        <w:rPr/>
        <w:t>Republic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Kenya,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/>
        <w:t>23</w:t>
      </w:r>
      <w:r>
        <w:rPr>
          <w:spacing w:val="10"/>
        </w:rPr>
        <w:t> </w:t>
      </w:r>
      <w:r>
        <w:rPr/>
        <w:t>February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4</w:t>
      </w:r>
      <w:r>
        <w:rPr>
          <w:spacing w:val="10"/>
        </w:rPr>
        <w:t> </w:t>
      </w:r>
      <w:r>
        <w:rPr/>
        <w:t>March,</w:t>
      </w:r>
      <w:r>
        <w:rPr>
          <w:spacing w:val="9"/>
        </w:rPr>
        <w:t> </w:t>
      </w:r>
      <w:r>
        <w:rPr>
          <w:spacing w:val="-2"/>
        </w:rPr>
        <w:t>1979,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 considered</w:t>
      </w:r>
      <w:r>
        <w:rPr>
          <w:b/>
          <w:spacing w:val="33"/>
        </w:rPr>
        <w:t> </w:t>
      </w:r>
      <w:r>
        <w:rPr/>
        <w:t>the Report of the Secretary-General on the appointment of a new member of the OAU Administrative Tribunal</w:t>
      </w:r>
      <w:r>
        <w:rPr>
          <w:spacing w:val="40"/>
        </w:rPr>
        <w:t> </w:t>
      </w:r>
      <w:r>
        <w:rPr/>
        <w:t>(Document CM/942 (XXXII)),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Referring</w:t>
      </w:r>
      <w:r>
        <w:rPr>
          <w:b/>
          <w:spacing w:val="13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Regulations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Administrative</w:t>
      </w:r>
      <w:r>
        <w:rPr>
          <w:spacing w:val="8"/>
        </w:rPr>
        <w:t> </w:t>
      </w:r>
      <w:r>
        <w:rPr>
          <w:spacing w:val="-2"/>
        </w:rPr>
        <w:t>Tribunal;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2"/>
          <w:u w:val="none"/>
        </w:rPr>
        <w:t>DECIDES: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860" w:val="left" w:leader="none"/>
          <w:tab w:pos="1861" w:val="left" w:leader="none"/>
        </w:tabs>
        <w:spacing w:line="369" w:lineRule="auto" w:before="0" w:after="0"/>
        <w:ind w:left="1860" w:right="161" w:hanging="336"/>
        <w:jc w:val="left"/>
        <w:rPr>
          <w:sz w:val="22"/>
        </w:rPr>
      </w:pPr>
      <w:r>
        <w:rPr>
          <w:sz w:val="22"/>
        </w:rPr>
        <w:t>after</w:t>
      </w:r>
      <w:r>
        <w:rPr>
          <w:spacing w:val="34"/>
          <w:sz w:val="22"/>
        </w:rPr>
        <w:t> </w:t>
      </w:r>
      <w:r>
        <w:rPr>
          <w:sz w:val="22"/>
        </w:rPr>
        <w:t>balloting,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retain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Republic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Djibouti</w:t>
      </w:r>
      <w:r>
        <w:rPr>
          <w:spacing w:val="34"/>
          <w:sz w:val="22"/>
        </w:rPr>
        <w:t> </w:t>
      </w:r>
      <w:r>
        <w:rPr>
          <w:sz w:val="22"/>
        </w:rPr>
        <w:t>as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third</w:t>
      </w:r>
      <w:r>
        <w:rPr>
          <w:spacing w:val="35"/>
          <w:sz w:val="22"/>
        </w:rPr>
        <w:t> </w:t>
      </w:r>
      <w:r>
        <w:rPr>
          <w:sz w:val="22"/>
        </w:rPr>
        <w:t>member</w:t>
      </w:r>
      <w:r>
        <w:rPr>
          <w:spacing w:val="34"/>
          <w:sz w:val="22"/>
        </w:rPr>
        <w:t> </w:t>
      </w:r>
      <w:r>
        <w:rPr>
          <w:sz w:val="22"/>
        </w:rPr>
        <w:t>of the Tribunal in the place of the Congo;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861" w:val="left" w:leader="none"/>
        </w:tabs>
        <w:spacing w:line="240" w:lineRule="auto" w:before="0" w:after="0"/>
        <w:ind w:left="1860" w:right="0" w:hanging="337"/>
        <w:jc w:val="left"/>
        <w:rPr>
          <w:sz w:val="22"/>
        </w:rPr>
      </w:pP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maintain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  <w:u w:val="single"/>
        </w:rPr>
        <w:t>status</w:t>
      </w:r>
      <w:r>
        <w:rPr>
          <w:spacing w:val="5"/>
          <w:sz w:val="22"/>
          <w:u w:val="single"/>
        </w:rPr>
        <w:t> </w:t>
      </w:r>
      <w:r>
        <w:rPr>
          <w:sz w:val="22"/>
          <w:u w:val="single"/>
        </w:rPr>
        <w:t>quo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regard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meetings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Tribunal.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."/>
      <w:lvlJc w:val="left"/>
      <w:pPr>
        <w:ind w:left="1860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2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8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60" w:hanging="33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2023-06-07T08:58:53Z</dcterms:created>
  <dcterms:modified xsi:type="dcterms:W3CDTF">2023-06-07T08:58:53Z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