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6"/>
        <w:jc w:val="right"/>
      </w:pPr>
      <w:r>
        <w:rPr/>
        <w:t>CM/Res.</w:t>
      </w:r>
      <w:r>
        <w:rPr>
          <w:spacing w:val="15"/>
        </w:rPr>
        <w:t> </w:t>
      </w:r>
      <w:r>
        <w:rPr/>
        <w:t>693</w:t>
      </w:r>
      <w:r>
        <w:rPr>
          <w:spacing w:val="16"/>
        </w:rPr>
        <w:t> </w:t>
      </w:r>
      <w:r>
        <w:rPr>
          <w:spacing w:val="-2"/>
        </w:rPr>
        <w:t>(XXXII)</w:t>
      </w:r>
    </w:p>
    <w:p>
      <w:pPr>
        <w:pStyle w:val="BodyText"/>
        <w:spacing w:before="2"/>
        <w:rPr>
          <w:sz w:val="35"/>
        </w:rPr>
      </w:pPr>
    </w:p>
    <w:p>
      <w:pPr>
        <w:pStyle w:val="Title"/>
        <w:rPr>
          <w:u w:val="none"/>
        </w:rPr>
      </w:pPr>
      <w:r>
        <w:rPr>
          <w:u w:val="single"/>
        </w:rPr>
        <w:t>RESOLUTION</w:t>
      </w:r>
      <w:r>
        <w:rPr>
          <w:spacing w:val="9"/>
          <w:u w:val="single"/>
        </w:rPr>
        <w:t> </w:t>
      </w:r>
      <w:r>
        <w:rPr>
          <w:u w:val="single"/>
        </w:rPr>
        <w:t>ON</w:t>
      </w:r>
      <w:r>
        <w:rPr>
          <w:spacing w:val="10"/>
          <w:u w:val="single"/>
        </w:rPr>
        <w:t> </w:t>
      </w:r>
      <w:r>
        <w:rPr>
          <w:u w:val="single"/>
        </w:rPr>
        <w:t>THE</w:t>
      </w:r>
      <w:r>
        <w:rPr>
          <w:spacing w:val="10"/>
          <w:u w:val="single"/>
        </w:rPr>
        <w:t> </w:t>
      </w:r>
      <w:r>
        <w:rPr>
          <w:u w:val="single"/>
        </w:rPr>
        <w:t>OAU</w:t>
      </w:r>
      <w:r>
        <w:rPr>
          <w:spacing w:val="10"/>
          <w:u w:val="single"/>
        </w:rPr>
        <w:t> </w:t>
      </w:r>
      <w:r>
        <w:rPr>
          <w:u w:val="single"/>
        </w:rPr>
        <w:t>PROGRAMME</w:t>
      </w:r>
      <w:r>
        <w:rPr>
          <w:spacing w:val="10"/>
          <w:u w:val="single"/>
        </w:rPr>
        <w:t> </w:t>
      </w:r>
      <w:r>
        <w:rPr>
          <w:spacing w:val="-2"/>
          <w:u w:val="single"/>
        </w:rPr>
        <w:t>COMMITTEE</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6"/>
        <w:rPr>
          <w:sz w:val="34"/>
        </w:rPr>
      </w:pPr>
    </w:p>
    <w:p>
      <w:pPr>
        <w:pStyle w:val="BodyText"/>
        <w:spacing w:line="369" w:lineRule="auto"/>
        <w:ind w:left="171" w:right="140" w:firstLine="676"/>
        <w:jc w:val="both"/>
      </w:pPr>
      <w:r>
        <w:rPr>
          <w:b/>
          <w:u w:val="single"/>
        </w:rPr>
        <w:t>Having discussed</w:t>
      </w:r>
      <w:r>
        <w:rPr>
          <w:b/>
        </w:rPr>
        <w:t> </w:t>
      </w:r>
      <w:r>
        <w:rPr/>
        <w:t>the report on the Recommendations on conditions of the contest for the anthem of the OAU and other matters (Rapporteur’s Report of the Programme Comm ittee of Tenth Anniversary) Doc CM/919 (XXXI) Rev. 1;</w:t>
      </w:r>
    </w:p>
    <w:p>
      <w:pPr>
        <w:pStyle w:val="BodyText"/>
        <w:spacing w:before="7"/>
        <w:rPr>
          <w:sz w:val="33"/>
        </w:rPr>
      </w:pPr>
    </w:p>
    <w:p>
      <w:pPr>
        <w:pStyle w:val="BodyText"/>
        <w:spacing w:line="369" w:lineRule="auto"/>
        <w:ind w:left="171" w:right="162" w:firstLine="676"/>
        <w:jc w:val="both"/>
      </w:pPr>
      <w:r>
        <w:rPr>
          <w:b/>
          <w:u w:val="single"/>
        </w:rPr>
        <w:t>Acknowledging</w:t>
      </w:r>
      <w:r>
        <w:rPr>
          <w:b/>
          <w:spacing w:val="35"/>
          <w:u w:val="single"/>
        </w:rPr>
        <w:t> </w:t>
      </w:r>
      <w:r>
        <w:rPr/>
        <w:t>the</w:t>
      </w:r>
      <w:r>
        <w:rPr>
          <w:spacing w:val="16"/>
        </w:rPr>
        <w:t> </w:t>
      </w:r>
      <w:r>
        <w:rPr/>
        <w:t>importance</w:t>
      </w:r>
      <w:r>
        <w:rPr>
          <w:spacing w:val="16"/>
        </w:rPr>
        <w:t> </w:t>
      </w:r>
      <w:r>
        <w:rPr/>
        <w:t>of</w:t>
      </w:r>
      <w:r>
        <w:rPr>
          <w:spacing w:val="16"/>
        </w:rPr>
        <w:t> </w:t>
      </w:r>
      <w:r>
        <w:rPr/>
        <w:t>having</w:t>
      </w:r>
      <w:r>
        <w:rPr>
          <w:spacing w:val="16"/>
        </w:rPr>
        <w:t> </w:t>
      </w:r>
      <w:r>
        <w:rPr/>
        <w:t>an</w:t>
      </w:r>
      <w:r>
        <w:rPr>
          <w:spacing w:val="16"/>
        </w:rPr>
        <w:t> </w:t>
      </w:r>
      <w:r>
        <w:rPr/>
        <w:t>OAU</w:t>
      </w:r>
      <w:r>
        <w:rPr>
          <w:spacing w:val="16"/>
        </w:rPr>
        <w:t> </w:t>
      </w:r>
      <w:r>
        <w:rPr/>
        <w:t>anthem</w:t>
      </w:r>
      <w:r>
        <w:rPr>
          <w:spacing w:val="17"/>
        </w:rPr>
        <w:t> </w:t>
      </w:r>
      <w:r>
        <w:rPr/>
        <w:t>which</w:t>
      </w:r>
      <w:r>
        <w:rPr>
          <w:spacing w:val="16"/>
        </w:rPr>
        <w:t> </w:t>
      </w:r>
      <w:r>
        <w:rPr/>
        <w:t>will</w:t>
      </w:r>
      <w:r>
        <w:rPr>
          <w:spacing w:val="16"/>
        </w:rPr>
        <w:t> </w:t>
      </w:r>
      <w:r>
        <w:rPr/>
        <w:t>nonetheless</w:t>
      </w:r>
      <w:r>
        <w:rPr>
          <w:spacing w:val="16"/>
        </w:rPr>
        <w:t> </w:t>
      </w:r>
      <w:r>
        <w:rPr/>
        <w:t>be a great symbol of unity;</w:t>
      </w:r>
    </w:p>
    <w:p>
      <w:pPr>
        <w:pStyle w:val="BodyText"/>
        <w:spacing w:before="1"/>
        <w:rPr>
          <w:sz w:val="34"/>
        </w:rPr>
      </w:pPr>
    </w:p>
    <w:p>
      <w:pPr>
        <w:pStyle w:val="BodyText"/>
        <w:spacing w:line="369" w:lineRule="auto"/>
        <w:ind w:left="171" w:right="182" w:firstLine="676"/>
        <w:jc w:val="both"/>
      </w:pPr>
      <w:r>
        <w:rPr>
          <w:b/>
          <w:u w:val="single"/>
        </w:rPr>
        <w:t>Determined</w:t>
      </w:r>
      <w:r>
        <w:rPr>
          <w:b/>
          <w:spacing w:val="33"/>
        </w:rPr>
        <w:t> </w:t>
      </w:r>
      <w:r>
        <w:rPr/>
        <w:t>to</w:t>
      </w:r>
      <w:r>
        <w:rPr>
          <w:spacing w:val="29"/>
        </w:rPr>
        <w:t> </w:t>
      </w:r>
      <w:r>
        <w:rPr/>
        <w:t>pursue</w:t>
      </w:r>
      <w:r>
        <w:rPr>
          <w:spacing w:val="28"/>
        </w:rPr>
        <w:t> </w:t>
      </w:r>
      <w:r>
        <w:rPr/>
        <w:t>the</w:t>
      </w:r>
      <w:r>
        <w:rPr>
          <w:spacing w:val="28"/>
        </w:rPr>
        <w:t> </w:t>
      </w:r>
      <w:r>
        <w:rPr/>
        <w:t>question</w:t>
      </w:r>
      <w:r>
        <w:rPr>
          <w:spacing w:val="28"/>
        </w:rPr>
        <w:t> </w:t>
      </w:r>
      <w:r>
        <w:rPr/>
        <w:t>on</w:t>
      </w:r>
      <w:r>
        <w:rPr>
          <w:spacing w:val="28"/>
        </w:rPr>
        <w:t> </w:t>
      </w:r>
      <w:r>
        <w:rPr/>
        <w:t>the</w:t>
      </w:r>
      <w:r>
        <w:rPr>
          <w:spacing w:val="28"/>
        </w:rPr>
        <w:t> </w:t>
      </w:r>
      <w:r>
        <w:rPr/>
        <w:t>production</w:t>
      </w:r>
      <w:r>
        <w:rPr>
          <w:spacing w:val="28"/>
        </w:rPr>
        <w:t> </w:t>
      </w:r>
      <w:r>
        <w:rPr/>
        <w:t>of</w:t>
      </w:r>
      <w:r>
        <w:rPr>
          <w:spacing w:val="28"/>
        </w:rPr>
        <w:t> </w:t>
      </w:r>
      <w:r>
        <w:rPr/>
        <w:t>the</w:t>
      </w:r>
      <w:r>
        <w:rPr>
          <w:spacing w:val="28"/>
        </w:rPr>
        <w:t> </w:t>
      </w:r>
      <w:r>
        <w:rPr/>
        <w:t>film</w:t>
      </w:r>
      <w:r>
        <w:rPr>
          <w:spacing w:val="29"/>
        </w:rPr>
        <w:t> </w:t>
      </w:r>
      <w:r>
        <w:rPr/>
        <w:t>expected</w:t>
      </w:r>
      <w:r>
        <w:rPr>
          <w:spacing w:val="29"/>
        </w:rPr>
        <w:t> </w:t>
      </w:r>
      <w:r>
        <w:rPr/>
        <w:t>to</w:t>
      </w:r>
      <w:r>
        <w:rPr>
          <w:spacing w:val="29"/>
        </w:rPr>
        <w:t> </w:t>
      </w:r>
      <w:r>
        <w:rPr/>
        <w:t>depict the Tenth Anniversary of the OAU to its logical conclusion:</w:t>
      </w:r>
    </w:p>
    <w:p>
      <w:pPr>
        <w:pStyle w:val="BodyText"/>
        <w:spacing w:before="3"/>
        <w:rPr>
          <w:sz w:val="33"/>
        </w:rPr>
      </w:pPr>
    </w:p>
    <w:p>
      <w:pPr>
        <w:pStyle w:val="ListParagraph"/>
        <w:numPr>
          <w:ilvl w:val="0"/>
          <w:numId w:val="1"/>
        </w:numPr>
        <w:tabs>
          <w:tab w:pos="1185" w:val="left" w:leader="none"/>
        </w:tabs>
        <w:spacing w:line="374" w:lineRule="auto" w:before="0" w:after="0"/>
        <w:ind w:left="1184" w:right="160" w:hanging="336"/>
        <w:jc w:val="both"/>
        <w:rPr>
          <w:sz w:val="22"/>
        </w:rPr>
      </w:pPr>
      <w:r>
        <w:rPr>
          <w:b/>
          <w:sz w:val="22"/>
        </w:rPr>
        <w:t>ADOPTS </w:t>
      </w:r>
      <w:r>
        <w:rPr>
          <w:sz w:val="22"/>
        </w:rPr>
        <w:t>the report (CM/919 (XXXI) Rev. 1) together with the recommendations as contained in page 13 paragraph 32 of the same report,</w:t>
      </w:r>
    </w:p>
    <w:p>
      <w:pPr>
        <w:pStyle w:val="BodyText"/>
        <w:spacing w:before="2"/>
        <w:rPr>
          <w:sz w:val="33"/>
        </w:rPr>
      </w:pPr>
    </w:p>
    <w:p>
      <w:pPr>
        <w:pStyle w:val="ListParagraph"/>
        <w:numPr>
          <w:ilvl w:val="0"/>
          <w:numId w:val="1"/>
        </w:numPr>
        <w:tabs>
          <w:tab w:pos="1185" w:val="left" w:leader="none"/>
        </w:tabs>
        <w:spacing w:line="369" w:lineRule="auto" w:before="1" w:after="0"/>
        <w:ind w:left="1184" w:right="158" w:hanging="336"/>
        <w:jc w:val="both"/>
        <w:rPr>
          <w:sz w:val="22"/>
        </w:rPr>
      </w:pPr>
      <w:r>
        <w:rPr>
          <w:b/>
          <w:sz w:val="22"/>
        </w:rPr>
        <w:t>REQUESTS</w:t>
      </w:r>
      <w:r>
        <w:rPr>
          <w:b/>
          <w:spacing w:val="40"/>
          <w:sz w:val="22"/>
        </w:rPr>
        <w:t> </w:t>
      </w:r>
      <w:r>
        <w:rPr>
          <w:sz w:val="22"/>
        </w:rPr>
        <w:t>the Programme Committee to pursue the question of the OAU</w:t>
      </w:r>
      <w:r>
        <w:rPr>
          <w:spacing w:val="40"/>
          <w:sz w:val="22"/>
        </w:rPr>
        <w:t> </w:t>
      </w:r>
      <w:r>
        <w:rPr>
          <w:spacing w:val="-2"/>
          <w:sz w:val="22"/>
        </w:rPr>
        <w:t>anthem;</w:t>
      </w:r>
    </w:p>
    <w:p>
      <w:pPr>
        <w:pStyle w:val="BodyText"/>
        <w:spacing w:before="7"/>
        <w:rPr>
          <w:sz w:val="33"/>
        </w:rPr>
      </w:pPr>
    </w:p>
    <w:p>
      <w:pPr>
        <w:pStyle w:val="ListParagraph"/>
        <w:numPr>
          <w:ilvl w:val="0"/>
          <w:numId w:val="1"/>
        </w:numPr>
        <w:tabs>
          <w:tab w:pos="1185" w:val="left" w:leader="none"/>
        </w:tabs>
        <w:spacing w:line="369" w:lineRule="auto" w:before="0" w:after="0"/>
        <w:ind w:left="1184" w:right="153" w:hanging="336"/>
        <w:jc w:val="both"/>
        <w:rPr>
          <w:sz w:val="22"/>
        </w:rPr>
      </w:pPr>
      <w:r>
        <w:rPr>
          <w:b/>
          <w:sz w:val="22"/>
        </w:rPr>
        <w:t>FURTHER REQUESTS</w:t>
      </w:r>
      <w:r>
        <w:rPr>
          <w:b/>
          <w:spacing w:val="40"/>
          <w:sz w:val="22"/>
        </w:rPr>
        <w:t> </w:t>
      </w:r>
      <w:r>
        <w:rPr>
          <w:sz w:val="22"/>
        </w:rPr>
        <w:t>the Program Committee to continue with its works on</w:t>
      </w:r>
      <w:r>
        <w:rPr>
          <w:spacing w:val="80"/>
          <w:sz w:val="22"/>
        </w:rPr>
        <w:t> </w:t>
      </w:r>
      <w:r>
        <w:rPr>
          <w:sz w:val="22"/>
        </w:rPr>
        <w:t>the materialization of the film commemorating the Tent Anniversary of the OAU and ensure its submission for the forthcoming summit of the OAU in Monrovia, </w:t>
      </w:r>
      <w:r>
        <w:rPr>
          <w:spacing w:val="-2"/>
          <w:sz w:val="22"/>
        </w:rPr>
        <w:t>Liberia.</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381" w:right="138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2023-06-07T08:59:08Z</dcterms:created>
  <dcterms:modified xsi:type="dcterms:W3CDTF">2023-06-07T08:59:08Z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