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ON THE ASSOCIATION OF AFRICAN</w:t>
      </w:r>
      <w:r>
        <w:rPr>
          <w:u w:val="none"/>
        </w:rPr>
        <w:t> </w:t>
      </w:r>
      <w:r>
        <w:rPr>
          <w:u w:val="single"/>
        </w:rPr>
        <w:t>TRADE PROMOTION ORGANIZATIONS</w:t>
      </w:r>
    </w:p>
    <w:p>
      <w:pPr>
        <w:pStyle w:val="BodyText"/>
        <w:spacing w:before="6"/>
        <w:rPr>
          <w:b/>
          <w:sz w:val="24"/>
        </w:rPr>
      </w:pPr>
    </w:p>
    <w:p>
      <w:pPr>
        <w:pStyle w:val="BodyText"/>
        <w:spacing w:line="374" w:lineRule="auto" w:before="96"/>
        <w:ind w:left="171" w:right="142" w:firstLine="676"/>
        <w:jc w:val="both"/>
      </w:pPr>
      <w:r>
        <w:rPr/>
        <w:t>The Council of Minister of the Organization of African Unity, meeting in its Thirty- Second</w:t>
      </w:r>
      <w:r>
        <w:rPr>
          <w:spacing w:val="9"/>
        </w:rPr>
        <w:t> </w:t>
      </w:r>
      <w:r>
        <w:rPr/>
        <w:t>Ordinary</w:t>
      </w:r>
      <w:r>
        <w:rPr>
          <w:spacing w:val="9"/>
        </w:rPr>
        <w:t> </w:t>
      </w:r>
      <w:r>
        <w:rPr/>
        <w:t>Session</w:t>
      </w:r>
      <w:r>
        <w:rPr>
          <w:spacing w:val="8"/>
        </w:rPr>
        <w:t> </w:t>
      </w:r>
      <w:r>
        <w:rPr/>
        <w:t>in</w:t>
      </w:r>
      <w:r>
        <w:rPr>
          <w:spacing w:val="9"/>
        </w:rPr>
        <w:t> </w:t>
      </w:r>
      <w:r>
        <w:rPr/>
        <w:t>Nairobi,</w:t>
      </w:r>
      <w:r>
        <w:rPr>
          <w:spacing w:val="9"/>
        </w:rPr>
        <w:t> </w:t>
      </w:r>
      <w:r>
        <w:rPr/>
        <w:t>Republic</w:t>
      </w:r>
      <w:r>
        <w:rPr>
          <w:spacing w:val="9"/>
        </w:rPr>
        <w:t> </w:t>
      </w:r>
      <w:r>
        <w:rPr/>
        <w:t>of</w:t>
      </w:r>
      <w:r>
        <w:rPr>
          <w:spacing w:val="8"/>
        </w:rPr>
        <w:t> </w:t>
      </w:r>
      <w:r>
        <w:rPr/>
        <w:t>Kenya,</w:t>
      </w:r>
      <w:r>
        <w:rPr>
          <w:spacing w:val="10"/>
        </w:rPr>
        <w:t> </w:t>
      </w:r>
      <w:r>
        <w:rPr/>
        <w:t>from</w:t>
      </w:r>
      <w:r>
        <w:rPr>
          <w:spacing w:val="9"/>
        </w:rPr>
        <w:t> </w:t>
      </w:r>
      <w:r>
        <w:rPr/>
        <w:t>23</w:t>
      </w:r>
      <w:r>
        <w:rPr>
          <w:spacing w:val="10"/>
        </w:rPr>
        <w:t> </w:t>
      </w:r>
      <w:r>
        <w:rPr/>
        <w:t>February</w:t>
      </w:r>
      <w:r>
        <w:rPr>
          <w:spacing w:val="9"/>
        </w:rPr>
        <w:t> </w:t>
      </w:r>
      <w:r>
        <w:rPr/>
        <w:t>to</w:t>
      </w:r>
      <w:r>
        <w:rPr>
          <w:spacing w:val="9"/>
        </w:rPr>
        <w:t> </w:t>
      </w:r>
      <w:r>
        <w:rPr/>
        <w:t>4</w:t>
      </w:r>
      <w:r>
        <w:rPr>
          <w:spacing w:val="10"/>
        </w:rPr>
        <w:t> </w:t>
      </w:r>
      <w:r>
        <w:rPr/>
        <w:t>March,</w:t>
      </w:r>
      <w:r>
        <w:rPr>
          <w:spacing w:val="9"/>
        </w:rPr>
        <w:t> </w:t>
      </w:r>
      <w:r>
        <w:rPr>
          <w:spacing w:val="-2"/>
        </w:rPr>
        <w:t>1979,</w:t>
      </w:r>
    </w:p>
    <w:p>
      <w:pPr>
        <w:pStyle w:val="BodyText"/>
        <w:spacing w:before="2"/>
        <w:rPr>
          <w:sz w:val="33"/>
        </w:rPr>
      </w:pPr>
    </w:p>
    <w:p>
      <w:pPr>
        <w:spacing w:before="0"/>
        <w:ind w:left="848" w:right="0" w:firstLine="0"/>
        <w:jc w:val="left"/>
        <w:rPr>
          <w:sz w:val="22"/>
        </w:rPr>
      </w:pPr>
      <w:r>
        <w:rPr>
          <w:b/>
          <w:sz w:val="22"/>
          <w:u w:val="single"/>
        </w:rPr>
        <w:t>Having</w:t>
      </w:r>
      <w:r>
        <w:rPr>
          <w:b/>
          <w:spacing w:val="13"/>
          <w:sz w:val="22"/>
          <w:u w:val="single"/>
        </w:rPr>
        <w:t> </w:t>
      </w:r>
      <w:r>
        <w:rPr>
          <w:b/>
          <w:sz w:val="22"/>
          <w:u w:val="single"/>
        </w:rPr>
        <w:t>considered</w:t>
      </w:r>
      <w:r>
        <w:rPr>
          <w:b/>
          <w:spacing w:val="27"/>
          <w:sz w:val="22"/>
        </w:rPr>
        <w:t> </w:t>
      </w:r>
      <w:r>
        <w:rPr>
          <w:sz w:val="22"/>
        </w:rPr>
        <w:t>the</w:t>
      </w:r>
      <w:r>
        <w:rPr>
          <w:spacing w:val="14"/>
          <w:sz w:val="22"/>
        </w:rPr>
        <w:t> </w:t>
      </w:r>
      <w:r>
        <w:rPr>
          <w:sz w:val="22"/>
        </w:rPr>
        <w:t>report</w:t>
      </w:r>
      <w:r>
        <w:rPr>
          <w:spacing w:val="15"/>
          <w:sz w:val="22"/>
        </w:rPr>
        <w:t> </w:t>
      </w:r>
      <w:r>
        <w:rPr>
          <w:sz w:val="22"/>
        </w:rPr>
        <w:t>of</w:t>
      </w:r>
      <w:r>
        <w:rPr>
          <w:spacing w:val="14"/>
          <w:sz w:val="22"/>
        </w:rPr>
        <w:t> </w:t>
      </w:r>
      <w:r>
        <w:rPr>
          <w:sz w:val="22"/>
        </w:rPr>
        <w:t>the</w:t>
      </w:r>
      <w:r>
        <w:rPr>
          <w:spacing w:val="15"/>
          <w:sz w:val="22"/>
        </w:rPr>
        <w:t> </w:t>
      </w:r>
      <w:r>
        <w:rPr>
          <w:sz w:val="22"/>
        </w:rPr>
        <w:t>Administrative</w:t>
      </w:r>
      <w:r>
        <w:rPr>
          <w:spacing w:val="15"/>
          <w:sz w:val="22"/>
        </w:rPr>
        <w:t> </w:t>
      </w:r>
      <w:r>
        <w:rPr>
          <w:sz w:val="22"/>
        </w:rPr>
        <w:t>Secretary-General,</w:t>
      </w:r>
      <w:r>
        <w:rPr>
          <w:spacing w:val="9"/>
          <w:sz w:val="22"/>
        </w:rPr>
        <w:t> </w:t>
      </w:r>
      <w:r>
        <w:rPr>
          <w:sz w:val="22"/>
        </w:rPr>
        <w:t>Doc.</w:t>
      </w:r>
      <w:r>
        <w:rPr>
          <w:spacing w:val="9"/>
          <w:sz w:val="22"/>
        </w:rPr>
        <w:t> </w:t>
      </w:r>
      <w:r>
        <w:rPr>
          <w:spacing w:val="-2"/>
          <w:sz w:val="22"/>
        </w:rPr>
        <w:t>CM/928</w:t>
      </w:r>
    </w:p>
    <w:p>
      <w:pPr>
        <w:pStyle w:val="BodyText"/>
        <w:spacing w:before="136"/>
        <w:ind w:left="171"/>
      </w:pPr>
      <w:r>
        <w:rPr/>
        <w:t>(XXXII)</w:t>
      </w:r>
      <w:r>
        <w:rPr>
          <w:spacing w:val="9"/>
        </w:rPr>
        <w:t> </w:t>
      </w:r>
      <w:r>
        <w:rPr/>
        <w:t>Part</w:t>
      </w:r>
      <w:r>
        <w:rPr>
          <w:spacing w:val="8"/>
        </w:rPr>
        <w:t> </w:t>
      </w:r>
      <w:r>
        <w:rPr>
          <w:spacing w:val="-5"/>
        </w:rPr>
        <w:t>II,</w:t>
      </w:r>
    </w:p>
    <w:p>
      <w:pPr>
        <w:pStyle w:val="BodyText"/>
        <w:rPr>
          <w:sz w:val="24"/>
        </w:rPr>
      </w:pPr>
    </w:p>
    <w:p>
      <w:pPr>
        <w:pStyle w:val="BodyText"/>
        <w:spacing w:before="7"/>
        <w:rPr>
          <w:sz w:val="21"/>
        </w:rPr>
      </w:pPr>
    </w:p>
    <w:p>
      <w:pPr>
        <w:pStyle w:val="BodyText"/>
        <w:spacing w:line="369" w:lineRule="auto"/>
        <w:ind w:left="171" w:right="143" w:firstLine="676"/>
        <w:jc w:val="both"/>
      </w:pPr>
      <w:r>
        <w:rPr>
          <w:b/>
          <w:u w:val="single"/>
        </w:rPr>
        <w:t>Recalling</w:t>
      </w:r>
      <w:r>
        <w:rPr>
          <w:b/>
        </w:rPr>
        <w:t> </w:t>
      </w:r>
      <w:r>
        <w:rPr/>
        <w:t>Resolution CM/Res. 501 as proposed by the Twenty-Seventh Ordinary Session of the Council of Ministers and approved by the Thirteenth Session of the conference</w:t>
      </w:r>
      <w:r>
        <w:rPr>
          <w:spacing w:val="80"/>
        </w:rPr>
        <w:t> </w:t>
      </w:r>
      <w:r>
        <w:rPr/>
        <w:t>of Heads of State and government of the Organization of African Unity, held in Port-Louis, Mauritius, on the Association of African Trace Promotion Organizations,</w:t>
      </w:r>
    </w:p>
    <w:p>
      <w:pPr>
        <w:pStyle w:val="BodyText"/>
        <w:spacing w:before="6"/>
        <w:rPr>
          <w:sz w:val="33"/>
        </w:rPr>
      </w:pPr>
    </w:p>
    <w:p>
      <w:pPr>
        <w:pStyle w:val="BodyText"/>
        <w:spacing w:line="369" w:lineRule="auto" w:before="1"/>
        <w:ind w:left="171" w:right="168" w:firstLine="676"/>
        <w:jc w:val="both"/>
      </w:pPr>
      <w:r>
        <w:rPr>
          <w:b/>
          <w:u w:val="single"/>
        </w:rPr>
        <w:t>Conscious</w:t>
      </w:r>
      <w:r>
        <w:rPr>
          <w:b/>
        </w:rPr>
        <w:t> </w:t>
      </w:r>
      <w:r>
        <w:rPr/>
        <w:t>of the fact that only 26 out of 49 member States of the OAU are currently signatories to the constitution of the Association,</w:t>
      </w:r>
    </w:p>
    <w:p>
      <w:pPr>
        <w:pStyle w:val="BodyText"/>
        <w:rPr>
          <w:sz w:val="34"/>
        </w:rPr>
      </w:pPr>
    </w:p>
    <w:p>
      <w:pPr>
        <w:pStyle w:val="BodyText"/>
        <w:spacing w:line="369" w:lineRule="auto" w:before="1"/>
        <w:ind w:left="171" w:right="155" w:firstLine="676"/>
        <w:jc w:val="both"/>
      </w:pPr>
      <w:r>
        <w:rPr>
          <w:b/>
          <w:u w:val="single"/>
        </w:rPr>
        <w:t>Aware</w:t>
      </w:r>
      <w:r>
        <w:rPr>
          <w:b/>
        </w:rPr>
        <w:t> </w:t>
      </w:r>
      <w:r>
        <w:rPr/>
        <w:t>of the fact that the Association will not operate effectively unless Member</w:t>
      </w:r>
      <w:r>
        <w:rPr>
          <w:spacing w:val="80"/>
        </w:rPr>
        <w:t> </w:t>
      </w:r>
      <w:r>
        <w:rPr/>
        <w:t>States pay their contributions to the budget of the Association,</w:t>
      </w:r>
    </w:p>
    <w:p>
      <w:pPr>
        <w:pStyle w:val="BodyText"/>
        <w:spacing w:before="7"/>
        <w:rPr>
          <w:sz w:val="33"/>
        </w:rPr>
      </w:pPr>
    </w:p>
    <w:p>
      <w:pPr>
        <w:pStyle w:val="ListParagraph"/>
        <w:numPr>
          <w:ilvl w:val="0"/>
          <w:numId w:val="1"/>
        </w:numPr>
        <w:tabs>
          <w:tab w:pos="1185" w:val="left" w:leader="none"/>
        </w:tabs>
        <w:spacing w:line="369" w:lineRule="auto" w:before="0" w:after="0"/>
        <w:ind w:left="1184" w:right="152" w:hanging="336"/>
        <w:jc w:val="both"/>
        <w:rPr>
          <w:sz w:val="22"/>
        </w:rPr>
      </w:pPr>
      <w:r>
        <w:rPr>
          <w:b/>
          <w:sz w:val="22"/>
        </w:rPr>
        <w:t>URGES </w:t>
      </w:r>
      <w:r>
        <w:rPr>
          <w:sz w:val="22"/>
        </w:rPr>
        <w:t>Member States who have not yet signed the Constitution of the</w:t>
      </w:r>
      <w:r>
        <w:rPr>
          <w:spacing w:val="80"/>
          <w:sz w:val="22"/>
        </w:rPr>
        <w:t> </w:t>
      </w:r>
      <w:r>
        <w:rPr>
          <w:sz w:val="22"/>
        </w:rPr>
        <w:t>Association or who have not yet deposited their instrument of ratification to do so</w:t>
      </w:r>
      <w:r>
        <w:rPr>
          <w:spacing w:val="80"/>
          <w:sz w:val="22"/>
        </w:rPr>
        <w:t> </w:t>
      </w:r>
      <w:r>
        <w:rPr>
          <w:sz w:val="22"/>
        </w:rPr>
        <w:t>as soon as possible;</w:t>
      </w:r>
    </w:p>
    <w:p>
      <w:pPr>
        <w:pStyle w:val="BodyText"/>
        <w:spacing w:before="1"/>
        <w:rPr>
          <w:sz w:val="34"/>
        </w:rPr>
      </w:pPr>
    </w:p>
    <w:p>
      <w:pPr>
        <w:pStyle w:val="ListParagraph"/>
        <w:numPr>
          <w:ilvl w:val="0"/>
          <w:numId w:val="1"/>
        </w:numPr>
        <w:tabs>
          <w:tab w:pos="1185" w:val="left" w:leader="none"/>
        </w:tabs>
        <w:spacing w:line="364" w:lineRule="auto" w:before="0" w:after="0"/>
        <w:ind w:left="1184" w:right="154" w:hanging="336"/>
        <w:jc w:val="both"/>
        <w:rPr>
          <w:sz w:val="22"/>
        </w:rPr>
      </w:pPr>
      <w:r>
        <w:rPr>
          <w:b/>
          <w:sz w:val="22"/>
        </w:rPr>
        <w:t>APPEALS </w:t>
      </w:r>
      <w:r>
        <w:rPr>
          <w:sz w:val="22"/>
        </w:rPr>
        <w:t>to Member States of the Association to pay their contribution to the budget of the Association;</w:t>
      </w:r>
    </w:p>
    <w:p>
      <w:pPr>
        <w:pStyle w:val="BodyText"/>
        <w:spacing w:before="1"/>
        <w:rPr>
          <w:sz w:val="34"/>
        </w:rPr>
      </w:pPr>
    </w:p>
    <w:p>
      <w:pPr>
        <w:pStyle w:val="ListParagraph"/>
        <w:numPr>
          <w:ilvl w:val="0"/>
          <w:numId w:val="1"/>
        </w:numPr>
        <w:tabs>
          <w:tab w:pos="1185" w:val="left" w:leader="none"/>
        </w:tabs>
        <w:spacing w:line="374" w:lineRule="auto" w:before="0" w:after="0"/>
        <w:ind w:left="1184" w:right="164" w:hanging="336"/>
        <w:jc w:val="both"/>
        <w:rPr>
          <w:sz w:val="22"/>
        </w:rPr>
      </w:pPr>
      <w:r>
        <w:rPr>
          <w:b/>
          <w:sz w:val="22"/>
        </w:rPr>
        <w:t>CALLS ON </w:t>
      </w:r>
      <w:r>
        <w:rPr>
          <w:sz w:val="22"/>
        </w:rPr>
        <w:t>Member States to facilitate the work of the Association by providing the necessary information to the organs of the Association;</w:t>
      </w:r>
    </w:p>
    <w:p>
      <w:pPr>
        <w:pStyle w:val="BodyText"/>
        <w:spacing w:before="3"/>
        <w:rPr>
          <w:sz w:val="33"/>
        </w:rPr>
      </w:pPr>
    </w:p>
    <w:p>
      <w:pPr>
        <w:pStyle w:val="ListParagraph"/>
        <w:numPr>
          <w:ilvl w:val="0"/>
          <w:numId w:val="1"/>
        </w:numPr>
        <w:tabs>
          <w:tab w:pos="1185" w:val="left" w:leader="none"/>
        </w:tabs>
        <w:spacing w:line="369" w:lineRule="auto" w:before="0" w:after="0"/>
        <w:ind w:left="1184" w:right="143" w:hanging="336"/>
        <w:jc w:val="both"/>
        <w:rPr>
          <w:sz w:val="22"/>
        </w:rPr>
      </w:pPr>
      <w:r>
        <w:rPr>
          <w:b/>
          <w:sz w:val="22"/>
        </w:rPr>
        <w:t>DECIDES</w:t>
      </w:r>
      <w:r>
        <w:rPr>
          <w:b/>
          <w:spacing w:val="40"/>
          <w:sz w:val="22"/>
        </w:rPr>
        <w:t> </w:t>
      </w:r>
      <w:r>
        <w:rPr>
          <w:sz w:val="22"/>
        </w:rPr>
        <w:t>to</w:t>
      </w:r>
      <w:r>
        <w:rPr>
          <w:spacing w:val="40"/>
          <w:sz w:val="22"/>
        </w:rPr>
        <w:t> </w:t>
      </w:r>
      <w:r>
        <w:rPr>
          <w:sz w:val="22"/>
        </w:rPr>
        <w:t>refer</w:t>
      </w:r>
      <w:r>
        <w:rPr>
          <w:spacing w:val="40"/>
          <w:sz w:val="22"/>
        </w:rPr>
        <w:t> </w:t>
      </w:r>
      <w:r>
        <w:rPr>
          <w:sz w:val="22"/>
        </w:rPr>
        <w:t>to</w:t>
      </w:r>
      <w:r>
        <w:rPr>
          <w:spacing w:val="40"/>
          <w:sz w:val="22"/>
        </w:rPr>
        <w:t> </w:t>
      </w:r>
      <w:r>
        <w:rPr>
          <w:sz w:val="22"/>
        </w:rPr>
        <w:t>the</w:t>
      </w:r>
      <w:r>
        <w:rPr>
          <w:spacing w:val="40"/>
          <w:sz w:val="22"/>
        </w:rPr>
        <w:t> </w:t>
      </w:r>
      <w:r>
        <w:rPr>
          <w:sz w:val="22"/>
        </w:rPr>
        <w:t>Thirty-Third Ordinary Session of the council of Ministers, the consideration of the application for the status of Specialized Agency of the OAU, submitted by the Association of African Trade Promotion Organizations, and to this end, calls on the Administrative Secretary-General to submit a comprehensive report on this request.</w:t>
      </w:r>
    </w:p>
    <w:p>
      <w:pPr>
        <w:spacing w:after="0" w:line="369" w:lineRule="auto"/>
        <w:jc w:val="both"/>
        <w:rPr>
          <w:sz w:val="22"/>
        </w:rPr>
        <w:sectPr>
          <w:headerReference w:type="default" r:id="rId5"/>
          <w:type w:val="continuous"/>
          <w:pgSz w:w="12240" w:h="15840"/>
          <w:pgMar w:header="701" w:footer="0" w:top="1260" w:bottom="280" w:left="1720" w:right="1720"/>
          <w:pgNumType w:start="1"/>
        </w:sectPr>
      </w:pPr>
    </w:p>
    <w:p>
      <w:pPr>
        <w:pStyle w:val="BodyText"/>
        <w:rPr>
          <w:sz w:val="20"/>
        </w:rPr>
      </w:pPr>
    </w:p>
    <w:p>
      <w:pPr>
        <w:pStyle w:val="BodyText"/>
        <w:spacing w:before="9"/>
        <w:rPr>
          <w:sz w:val="20"/>
        </w:rPr>
      </w:pPr>
    </w:p>
    <w:p>
      <w:pPr>
        <w:pStyle w:val="ListParagraph"/>
        <w:numPr>
          <w:ilvl w:val="0"/>
          <w:numId w:val="1"/>
        </w:numPr>
        <w:tabs>
          <w:tab w:pos="1185" w:val="left" w:leader="none"/>
        </w:tabs>
        <w:spacing w:line="369" w:lineRule="auto" w:before="0" w:after="0"/>
        <w:ind w:left="1184" w:right="158" w:hanging="336"/>
        <w:jc w:val="left"/>
        <w:rPr>
          <w:sz w:val="22"/>
        </w:rPr>
      </w:pPr>
      <w:r>
        <w:rPr>
          <w:b/>
          <w:sz w:val="22"/>
        </w:rPr>
        <w:t>APPEALS</w:t>
      </w:r>
      <w:r>
        <w:rPr>
          <w:b/>
          <w:spacing w:val="80"/>
          <w:w w:val="150"/>
          <w:sz w:val="22"/>
        </w:rPr>
        <w:t> </w:t>
      </w:r>
      <w:r>
        <w:rPr>
          <w:b/>
          <w:sz w:val="22"/>
        </w:rPr>
        <w:t>TO</w:t>
      </w:r>
      <w:r>
        <w:rPr>
          <w:b/>
          <w:spacing w:val="80"/>
          <w:w w:val="150"/>
          <w:sz w:val="22"/>
        </w:rPr>
        <w:t> </w:t>
      </w:r>
      <w:r>
        <w:rPr>
          <w:sz w:val="22"/>
        </w:rPr>
        <w:t>international</w:t>
      </w:r>
      <w:r>
        <w:rPr>
          <w:spacing w:val="80"/>
          <w:w w:val="150"/>
          <w:sz w:val="22"/>
        </w:rPr>
        <w:t> </w:t>
      </w:r>
      <w:r>
        <w:rPr>
          <w:sz w:val="22"/>
        </w:rPr>
        <w:t>institutions</w:t>
      </w:r>
      <w:r>
        <w:rPr>
          <w:spacing w:val="80"/>
          <w:w w:val="150"/>
          <w:sz w:val="22"/>
        </w:rPr>
        <w:t> </w:t>
      </w:r>
      <w:r>
        <w:rPr>
          <w:sz w:val="22"/>
        </w:rPr>
        <w:t>and</w:t>
      </w:r>
      <w:r>
        <w:rPr>
          <w:spacing w:val="80"/>
          <w:w w:val="150"/>
          <w:sz w:val="22"/>
        </w:rPr>
        <w:t> </w:t>
      </w:r>
      <w:r>
        <w:rPr>
          <w:sz w:val="22"/>
        </w:rPr>
        <w:t>donor</w:t>
      </w:r>
      <w:r>
        <w:rPr>
          <w:spacing w:val="80"/>
          <w:w w:val="150"/>
          <w:sz w:val="22"/>
        </w:rPr>
        <w:t> </w:t>
      </w:r>
      <w:r>
        <w:rPr>
          <w:sz w:val="22"/>
        </w:rPr>
        <w:t>countries</w:t>
      </w:r>
      <w:r>
        <w:rPr>
          <w:spacing w:val="80"/>
          <w:w w:val="150"/>
          <w:sz w:val="22"/>
        </w:rPr>
        <w:t> </w:t>
      </w:r>
      <w:r>
        <w:rPr>
          <w:sz w:val="22"/>
        </w:rPr>
        <w:t>to</w:t>
      </w:r>
      <w:r>
        <w:rPr>
          <w:spacing w:val="80"/>
          <w:w w:val="150"/>
          <w:sz w:val="22"/>
        </w:rPr>
        <w:t> </w:t>
      </w:r>
      <w:r>
        <w:rPr>
          <w:sz w:val="22"/>
        </w:rPr>
        <w:t>consider favourably applications for financial and technical assistance by the Association;</w:t>
      </w:r>
    </w:p>
    <w:p>
      <w:pPr>
        <w:pStyle w:val="BodyText"/>
        <w:spacing w:before="8"/>
        <w:rPr>
          <w:sz w:val="33"/>
        </w:rPr>
      </w:pPr>
    </w:p>
    <w:p>
      <w:pPr>
        <w:pStyle w:val="ListParagraph"/>
        <w:numPr>
          <w:ilvl w:val="0"/>
          <w:numId w:val="1"/>
        </w:numPr>
        <w:tabs>
          <w:tab w:pos="1185" w:val="left" w:leader="none"/>
        </w:tabs>
        <w:spacing w:line="369" w:lineRule="auto" w:before="0" w:after="0"/>
        <w:ind w:left="1184" w:right="149" w:hanging="336"/>
        <w:jc w:val="left"/>
        <w:rPr>
          <w:sz w:val="22"/>
        </w:rPr>
      </w:pPr>
      <w:r>
        <w:rPr>
          <w:b/>
          <w:sz w:val="22"/>
        </w:rPr>
        <w:t>URGES</w:t>
      </w:r>
      <w:r>
        <w:rPr>
          <w:b/>
          <w:spacing w:val="37"/>
          <w:sz w:val="22"/>
        </w:rPr>
        <w:t> </w:t>
      </w:r>
      <w:r>
        <w:rPr>
          <w:sz w:val="22"/>
        </w:rPr>
        <w:t>Member</w:t>
      </w:r>
      <w:r>
        <w:rPr>
          <w:spacing w:val="33"/>
          <w:sz w:val="22"/>
        </w:rPr>
        <w:t> </w:t>
      </w:r>
      <w:r>
        <w:rPr>
          <w:sz w:val="22"/>
        </w:rPr>
        <w:t>States</w:t>
      </w:r>
      <w:r>
        <w:rPr>
          <w:spacing w:val="32"/>
          <w:sz w:val="22"/>
        </w:rPr>
        <w:t> </w:t>
      </w:r>
      <w:r>
        <w:rPr>
          <w:sz w:val="22"/>
        </w:rPr>
        <w:t>to</w:t>
      </w:r>
      <w:r>
        <w:rPr>
          <w:spacing w:val="33"/>
          <w:sz w:val="22"/>
        </w:rPr>
        <w:t> </w:t>
      </w:r>
      <w:r>
        <w:rPr>
          <w:sz w:val="22"/>
        </w:rPr>
        <w:t>attend</w:t>
      </w:r>
      <w:r>
        <w:rPr>
          <w:spacing w:val="33"/>
          <w:sz w:val="22"/>
        </w:rPr>
        <w:t> </w:t>
      </w:r>
      <w:r>
        <w:rPr>
          <w:sz w:val="22"/>
        </w:rPr>
        <w:t>the</w:t>
      </w:r>
      <w:r>
        <w:rPr>
          <w:spacing w:val="32"/>
          <w:sz w:val="22"/>
        </w:rPr>
        <w:t> </w:t>
      </w:r>
      <w:r>
        <w:rPr>
          <w:sz w:val="22"/>
        </w:rPr>
        <w:t>Third</w:t>
      </w:r>
      <w:r>
        <w:rPr>
          <w:spacing w:val="31"/>
          <w:sz w:val="22"/>
        </w:rPr>
        <w:t> </w:t>
      </w:r>
      <w:r>
        <w:rPr>
          <w:sz w:val="22"/>
        </w:rPr>
        <w:t>Session</w:t>
      </w:r>
      <w:r>
        <w:rPr>
          <w:spacing w:val="30"/>
          <w:sz w:val="22"/>
        </w:rPr>
        <w:t> </w:t>
      </w:r>
      <w:r>
        <w:rPr>
          <w:sz w:val="22"/>
        </w:rPr>
        <w:t>of</w:t>
      </w:r>
      <w:r>
        <w:rPr>
          <w:spacing w:val="30"/>
          <w:sz w:val="22"/>
        </w:rPr>
        <w:t> </w:t>
      </w:r>
      <w:r>
        <w:rPr>
          <w:sz w:val="22"/>
        </w:rPr>
        <w:t>the</w:t>
      </w:r>
      <w:r>
        <w:rPr>
          <w:spacing w:val="31"/>
          <w:sz w:val="22"/>
        </w:rPr>
        <w:t> </w:t>
      </w:r>
      <w:r>
        <w:rPr>
          <w:sz w:val="22"/>
        </w:rPr>
        <w:t>General</w:t>
      </w:r>
      <w:r>
        <w:rPr>
          <w:spacing w:val="30"/>
          <w:sz w:val="22"/>
        </w:rPr>
        <w:t> </w:t>
      </w:r>
      <w:r>
        <w:rPr>
          <w:sz w:val="22"/>
        </w:rPr>
        <w:t>Assembly</w:t>
      </w:r>
      <w:r>
        <w:rPr>
          <w:spacing w:val="30"/>
          <w:sz w:val="22"/>
        </w:rPr>
        <w:t> </w:t>
      </w:r>
      <w:r>
        <w:rPr>
          <w:sz w:val="22"/>
        </w:rPr>
        <w:t>of the Association to take place in Tangiers from 23 to 27 April 1979.</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59360" type="#_x0000_t202" id="docshape1" filled="false" stroked="false">
          <v:textbox inset="0,0,0,0">
            <w:txbxContent>
              <w:p>
                <w:pPr>
                  <w:pStyle w:val="BodyText"/>
                  <w:spacing w:before="15"/>
                  <w:ind w:left="20"/>
                </w:pPr>
                <w:r>
                  <w:rPr/>
                  <w:t>CM/Res.</w:t>
                </w:r>
                <w:r>
                  <w:rPr>
                    <w:spacing w:val="15"/>
                  </w:rPr>
                  <w:t> </w:t>
                </w:r>
                <w:r>
                  <w:rPr/>
                  <w:t>699</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85"/>
      <w:ind w:left="2278" w:right="1003" w:hanging="629"/>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2023-06-07T08:59:27Z</dcterms:created>
  <dcterms:modified xsi:type="dcterms:W3CDTF">2023-06-07T08:59:27Z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